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jc w:val="center"/>
        <w:tblLayout w:type="fixed"/>
        <w:tblLook w:val="00A0"/>
      </w:tblPr>
      <w:tblGrid>
        <w:gridCol w:w="1602"/>
        <w:gridCol w:w="2759"/>
        <w:gridCol w:w="283"/>
        <w:gridCol w:w="993"/>
        <w:gridCol w:w="2518"/>
        <w:gridCol w:w="1484"/>
      </w:tblGrid>
      <w:tr w:rsidR="008F0CBC" w:rsidRPr="00EE0231" w:rsidTr="00747CFD">
        <w:trPr>
          <w:jc w:val="center"/>
        </w:trPr>
        <w:tc>
          <w:tcPr>
            <w:tcW w:w="4361" w:type="dxa"/>
            <w:gridSpan w:val="2"/>
          </w:tcPr>
          <w:p w:rsidR="008F0CBC" w:rsidRPr="00EE0231" w:rsidRDefault="008F0CBC" w:rsidP="00330950">
            <w:pPr>
              <w:spacing w:line="240" w:lineRule="auto"/>
              <w:jc w:val="center"/>
              <w:rPr>
                <w:rFonts w:ascii="Arial Narrow" w:hAnsi="Arial Narrow"/>
                <w:b/>
                <w:bCs/>
              </w:rPr>
            </w:pPr>
            <w:r w:rsidRPr="00EE0231">
              <w:rPr>
                <w:rFonts w:ascii="Arial Narrow" w:hAnsi="Arial Narrow"/>
                <w:b/>
                <w:bCs/>
              </w:rPr>
              <w:t>ΕΠΙΤΡΟΠΗ ΛΟΓΙΣΤΙΚΗΣ ΤΥΠΟΠΟΙΗΣΗΣ &amp; ΕΛΕΓΧΩΝ</w:t>
            </w:r>
          </w:p>
        </w:tc>
        <w:tc>
          <w:tcPr>
            <w:tcW w:w="283" w:type="dxa"/>
          </w:tcPr>
          <w:p w:rsidR="008F0CBC" w:rsidRPr="00EE0231" w:rsidRDefault="008F0CBC" w:rsidP="00BD6661">
            <w:pPr>
              <w:spacing w:line="240" w:lineRule="auto"/>
              <w:rPr>
                <w:rFonts w:ascii="Arial Narrow" w:hAnsi="Arial Narrow"/>
              </w:rPr>
            </w:pPr>
          </w:p>
        </w:tc>
        <w:tc>
          <w:tcPr>
            <w:tcW w:w="3511" w:type="dxa"/>
            <w:gridSpan w:val="2"/>
          </w:tcPr>
          <w:p w:rsidR="008F0CBC" w:rsidRPr="00EE0231" w:rsidRDefault="00664AC9" w:rsidP="00015E3A">
            <w:pPr>
              <w:spacing w:line="240" w:lineRule="auto"/>
              <w:jc w:val="right"/>
              <w:rPr>
                <w:rFonts w:ascii="Arial Narrow" w:hAnsi="Arial Narrow"/>
                <w:lang w:val="en-US"/>
              </w:rPr>
            </w:pPr>
            <w:r w:rsidRPr="00EE0231">
              <w:rPr>
                <w:rFonts w:ascii="Arial Narrow" w:hAnsi="Arial Narrow"/>
              </w:rPr>
              <w:t>Αθήνα,</w:t>
            </w:r>
            <w:r w:rsidR="00015E3A" w:rsidRPr="00EE0231">
              <w:rPr>
                <w:rFonts w:ascii="Arial Narrow" w:hAnsi="Arial Narrow"/>
                <w:lang w:val="en-US"/>
              </w:rPr>
              <w:t>14</w:t>
            </w:r>
            <w:r w:rsidR="008025E1" w:rsidRPr="00EE0231">
              <w:rPr>
                <w:rFonts w:ascii="Arial Narrow" w:hAnsi="Arial Narrow"/>
                <w:lang w:val="en-US"/>
              </w:rPr>
              <w:t>/</w:t>
            </w:r>
            <w:r w:rsidR="009E31B1" w:rsidRPr="00EE0231">
              <w:rPr>
                <w:rFonts w:ascii="Arial Narrow" w:hAnsi="Arial Narrow"/>
              </w:rPr>
              <w:t>0</w:t>
            </w:r>
            <w:r w:rsidR="00015E3A" w:rsidRPr="00EE0231">
              <w:rPr>
                <w:rFonts w:ascii="Arial Narrow" w:hAnsi="Arial Narrow"/>
                <w:lang w:val="en-US"/>
              </w:rPr>
              <w:t>7</w:t>
            </w:r>
            <w:r w:rsidR="008025E1" w:rsidRPr="00EE0231">
              <w:rPr>
                <w:rFonts w:ascii="Arial Narrow" w:hAnsi="Arial Narrow"/>
                <w:lang w:val="en-US"/>
              </w:rPr>
              <w:t>/</w:t>
            </w:r>
            <w:r w:rsidR="00E43E00" w:rsidRPr="00EE0231">
              <w:rPr>
                <w:rFonts w:ascii="Arial Narrow" w:hAnsi="Arial Narrow"/>
                <w:lang w:val="en-US"/>
              </w:rPr>
              <w:t>2020</w:t>
            </w:r>
          </w:p>
        </w:tc>
        <w:tc>
          <w:tcPr>
            <w:tcW w:w="1484" w:type="dxa"/>
          </w:tcPr>
          <w:p w:rsidR="008F0CBC" w:rsidRPr="00EE0231" w:rsidRDefault="008F0CBC" w:rsidP="00183C65">
            <w:pPr>
              <w:spacing w:line="240" w:lineRule="auto"/>
              <w:rPr>
                <w:rFonts w:ascii="Arial Narrow" w:hAnsi="Arial Narrow"/>
                <w:color w:val="FF0000"/>
                <w:highlight w:val="yellow"/>
                <w:lang w:val="en-US"/>
              </w:rPr>
            </w:pPr>
          </w:p>
        </w:tc>
      </w:tr>
      <w:tr w:rsidR="008F0CBC" w:rsidRPr="00EE0231" w:rsidTr="00747CFD">
        <w:trPr>
          <w:jc w:val="center"/>
        </w:trPr>
        <w:tc>
          <w:tcPr>
            <w:tcW w:w="4361" w:type="dxa"/>
            <w:gridSpan w:val="2"/>
          </w:tcPr>
          <w:p w:rsidR="008F0CBC" w:rsidRPr="00EE0231" w:rsidRDefault="008F0CBC" w:rsidP="00330950">
            <w:pPr>
              <w:spacing w:line="240" w:lineRule="auto"/>
              <w:jc w:val="center"/>
              <w:rPr>
                <w:rFonts w:ascii="Arial Narrow" w:hAnsi="Arial Narrow"/>
                <w:b/>
                <w:bCs/>
              </w:rPr>
            </w:pPr>
            <w:r w:rsidRPr="00EE0231">
              <w:rPr>
                <w:rFonts w:ascii="Arial Narrow" w:hAnsi="Arial Narrow"/>
                <w:b/>
                <w:bCs/>
              </w:rPr>
              <w:t>Ν.Π.Δ.Δ</w:t>
            </w:r>
          </w:p>
        </w:tc>
        <w:tc>
          <w:tcPr>
            <w:tcW w:w="283" w:type="dxa"/>
          </w:tcPr>
          <w:p w:rsidR="008F0CBC" w:rsidRPr="00EE0231" w:rsidRDefault="008F0CBC" w:rsidP="00BD6661">
            <w:pPr>
              <w:spacing w:line="240" w:lineRule="auto"/>
              <w:rPr>
                <w:rFonts w:ascii="Arial Narrow" w:hAnsi="Arial Narrow"/>
              </w:rPr>
            </w:pPr>
          </w:p>
        </w:tc>
        <w:tc>
          <w:tcPr>
            <w:tcW w:w="3511" w:type="dxa"/>
            <w:gridSpan w:val="2"/>
          </w:tcPr>
          <w:p w:rsidR="008F0CBC" w:rsidRPr="00EE0231" w:rsidRDefault="008F0CBC" w:rsidP="00143D77">
            <w:pPr>
              <w:spacing w:line="240" w:lineRule="auto"/>
              <w:jc w:val="right"/>
              <w:rPr>
                <w:rFonts w:ascii="Arial Narrow" w:hAnsi="Arial Narrow"/>
              </w:rPr>
            </w:pPr>
            <w:r w:rsidRPr="00EE0231">
              <w:rPr>
                <w:rFonts w:ascii="Arial Narrow" w:hAnsi="Arial Narrow"/>
              </w:rPr>
              <w:t>Αρ. Πρωτ.</w:t>
            </w:r>
            <w:r w:rsidR="000C66D3" w:rsidRPr="00EE0231">
              <w:rPr>
                <w:rFonts w:ascii="Arial Narrow" w:hAnsi="Arial Narrow"/>
              </w:rPr>
              <w:t xml:space="preserve"> </w:t>
            </w:r>
            <w:r w:rsidR="00C90B17" w:rsidRPr="00EE0231">
              <w:rPr>
                <w:rFonts w:ascii="Arial Narrow" w:hAnsi="Arial Narrow"/>
                <w:lang w:val="en-US"/>
              </w:rPr>
              <w:t>1347</w:t>
            </w:r>
            <w:r w:rsidR="00C90B17" w:rsidRPr="00EE0231">
              <w:rPr>
                <w:rFonts w:ascii="Arial Narrow" w:hAnsi="Arial Narrow"/>
              </w:rPr>
              <w:t xml:space="preserve"> ΕΞ</w:t>
            </w:r>
            <w:r w:rsidR="00A04419" w:rsidRPr="00EE0231">
              <w:rPr>
                <w:rFonts w:ascii="Arial Narrow" w:hAnsi="Arial Narrow"/>
              </w:rPr>
              <w:t>.</w:t>
            </w:r>
          </w:p>
        </w:tc>
        <w:tc>
          <w:tcPr>
            <w:tcW w:w="1484" w:type="dxa"/>
          </w:tcPr>
          <w:p w:rsidR="008F0CBC" w:rsidRPr="00EE0231" w:rsidRDefault="008F0CBC" w:rsidP="0008205B">
            <w:pPr>
              <w:spacing w:line="240" w:lineRule="auto"/>
              <w:rPr>
                <w:rFonts w:ascii="Arial Narrow" w:hAnsi="Arial Narrow"/>
                <w:color w:val="FF0000"/>
              </w:rPr>
            </w:pPr>
          </w:p>
        </w:tc>
      </w:tr>
      <w:tr w:rsidR="008F0CBC" w:rsidRPr="00EE0231" w:rsidTr="00747CFD">
        <w:trPr>
          <w:jc w:val="center"/>
        </w:trPr>
        <w:tc>
          <w:tcPr>
            <w:tcW w:w="4361" w:type="dxa"/>
            <w:gridSpan w:val="2"/>
          </w:tcPr>
          <w:p w:rsidR="008F0CBC" w:rsidRPr="00EE0231" w:rsidRDefault="008F0CBC" w:rsidP="00330950">
            <w:pPr>
              <w:spacing w:line="240" w:lineRule="auto"/>
              <w:jc w:val="center"/>
              <w:rPr>
                <w:rFonts w:ascii="Arial Narrow" w:hAnsi="Arial Narrow"/>
                <w:b/>
                <w:bCs/>
              </w:rPr>
            </w:pPr>
            <w:r w:rsidRPr="00EE0231">
              <w:rPr>
                <w:rFonts w:ascii="Arial Narrow" w:hAnsi="Arial Narrow"/>
                <w:b/>
                <w:bCs/>
              </w:rPr>
              <w:t>ΣΥΜΒΟΥΛΙΟ ΛΟΓΙΣΤΙΚΗΣ ΤΥΠΟΠΟΙΗΣΗΣ (ΣΛΟΤ)</w:t>
            </w:r>
          </w:p>
        </w:tc>
        <w:tc>
          <w:tcPr>
            <w:tcW w:w="283" w:type="dxa"/>
          </w:tcPr>
          <w:p w:rsidR="008F0CBC" w:rsidRPr="00EE0231" w:rsidRDefault="008F0CBC" w:rsidP="00BD6661">
            <w:pPr>
              <w:spacing w:line="240" w:lineRule="auto"/>
              <w:rPr>
                <w:rFonts w:ascii="Arial Narrow" w:hAnsi="Arial Narrow"/>
              </w:rPr>
            </w:pPr>
          </w:p>
        </w:tc>
        <w:tc>
          <w:tcPr>
            <w:tcW w:w="3511" w:type="dxa"/>
            <w:gridSpan w:val="2"/>
          </w:tcPr>
          <w:p w:rsidR="008F0CBC" w:rsidRPr="00EE0231" w:rsidRDefault="008F0CBC" w:rsidP="00BD6661">
            <w:pPr>
              <w:spacing w:line="240" w:lineRule="auto"/>
              <w:jc w:val="right"/>
              <w:rPr>
                <w:rFonts w:ascii="Arial Narrow" w:hAnsi="Arial Narrow"/>
              </w:rPr>
            </w:pPr>
          </w:p>
        </w:tc>
        <w:tc>
          <w:tcPr>
            <w:tcW w:w="1484" w:type="dxa"/>
          </w:tcPr>
          <w:p w:rsidR="008F0CBC" w:rsidRPr="00EE0231" w:rsidRDefault="008F0CBC" w:rsidP="00BD6661">
            <w:pPr>
              <w:spacing w:line="240" w:lineRule="auto"/>
              <w:rPr>
                <w:rFonts w:ascii="Arial Narrow" w:hAnsi="Arial Narrow"/>
              </w:rPr>
            </w:pPr>
          </w:p>
        </w:tc>
      </w:tr>
      <w:tr w:rsidR="008F0CBC" w:rsidRPr="00EE0231" w:rsidTr="00747CFD">
        <w:trPr>
          <w:jc w:val="center"/>
        </w:trPr>
        <w:tc>
          <w:tcPr>
            <w:tcW w:w="1602" w:type="dxa"/>
          </w:tcPr>
          <w:p w:rsidR="008F0CBC" w:rsidRPr="00EE0231" w:rsidRDefault="008F0CBC" w:rsidP="00BD6661">
            <w:pPr>
              <w:spacing w:line="240" w:lineRule="auto"/>
              <w:rPr>
                <w:rFonts w:ascii="Arial Narrow" w:hAnsi="Arial Narrow"/>
              </w:rPr>
            </w:pPr>
          </w:p>
        </w:tc>
        <w:tc>
          <w:tcPr>
            <w:tcW w:w="2759" w:type="dxa"/>
          </w:tcPr>
          <w:p w:rsidR="008F0CBC" w:rsidRPr="00EE0231" w:rsidRDefault="008F0CBC" w:rsidP="00BD6661">
            <w:pPr>
              <w:spacing w:line="240" w:lineRule="auto"/>
              <w:rPr>
                <w:rFonts w:ascii="Arial Narrow" w:hAnsi="Arial Narrow"/>
              </w:rPr>
            </w:pPr>
          </w:p>
        </w:tc>
        <w:tc>
          <w:tcPr>
            <w:tcW w:w="283" w:type="dxa"/>
          </w:tcPr>
          <w:p w:rsidR="008F0CBC" w:rsidRPr="00EE0231" w:rsidRDefault="008F0CBC" w:rsidP="00BD6661">
            <w:pPr>
              <w:spacing w:line="240" w:lineRule="auto"/>
              <w:rPr>
                <w:rFonts w:ascii="Arial Narrow" w:hAnsi="Arial Narrow"/>
              </w:rPr>
            </w:pPr>
          </w:p>
        </w:tc>
        <w:tc>
          <w:tcPr>
            <w:tcW w:w="993" w:type="dxa"/>
          </w:tcPr>
          <w:p w:rsidR="008F0CBC" w:rsidRPr="00EE0231" w:rsidRDefault="008F0CBC" w:rsidP="00BD6661">
            <w:pPr>
              <w:spacing w:line="240" w:lineRule="auto"/>
              <w:ind w:left="2"/>
              <w:jc w:val="right"/>
              <w:rPr>
                <w:rFonts w:ascii="Arial Narrow" w:hAnsi="Arial Narrow"/>
              </w:rPr>
            </w:pPr>
          </w:p>
        </w:tc>
        <w:tc>
          <w:tcPr>
            <w:tcW w:w="4002" w:type="dxa"/>
            <w:gridSpan w:val="2"/>
          </w:tcPr>
          <w:p w:rsidR="008F0CBC" w:rsidRPr="00EE0231" w:rsidRDefault="008F0CBC" w:rsidP="003B11D8">
            <w:pPr>
              <w:spacing w:line="240" w:lineRule="auto"/>
              <w:rPr>
                <w:rFonts w:ascii="Arial Narrow" w:hAnsi="Arial Narrow"/>
              </w:rPr>
            </w:pPr>
          </w:p>
        </w:tc>
      </w:tr>
    </w:tbl>
    <w:p w:rsidR="00AA55CD" w:rsidRPr="00EE0231" w:rsidRDefault="00AA55CD" w:rsidP="00EE0231">
      <w:pPr>
        <w:pStyle w:val="1"/>
        <w:spacing w:after="200"/>
        <w:rPr>
          <w:rFonts w:ascii="Arial Narrow" w:hAnsi="Arial Narrow" w:cs="Calibri"/>
          <w:b/>
          <w:u w:val="single"/>
          <w:lang w:eastAsia="el-GR"/>
        </w:rPr>
      </w:pPr>
    </w:p>
    <w:p w:rsidR="007865B5" w:rsidRPr="00EE0231" w:rsidRDefault="008025E1" w:rsidP="00EE0231">
      <w:pPr>
        <w:pStyle w:val="1"/>
        <w:spacing w:after="200"/>
        <w:rPr>
          <w:rFonts w:ascii="Arial Narrow" w:hAnsi="Arial Narrow" w:cs="Calibri"/>
          <w:b/>
        </w:rPr>
      </w:pPr>
      <w:r w:rsidRPr="00EE0231">
        <w:rPr>
          <w:rFonts w:ascii="Arial Narrow" w:hAnsi="Arial Narrow" w:cs="Calibri"/>
          <w:b/>
          <w:lang w:eastAsia="el-GR"/>
        </w:rPr>
        <w:t xml:space="preserve">ΘΕΜΑ </w:t>
      </w:r>
      <w:r w:rsidR="00353E32" w:rsidRPr="00EE0231">
        <w:rPr>
          <w:rFonts w:ascii="Arial Narrow" w:hAnsi="Arial Narrow" w:cs="Calibri"/>
          <w:b/>
          <w:lang w:eastAsia="el-GR"/>
        </w:rPr>
        <w:t xml:space="preserve">: </w:t>
      </w:r>
      <w:r w:rsidR="00143D77" w:rsidRPr="00EE0231">
        <w:rPr>
          <w:rFonts w:ascii="Arial Narrow" w:hAnsi="Arial Narrow"/>
        </w:rPr>
        <w:t>Λογιστικός χειρισμός διανομής κερδών στο προσωπικό</w:t>
      </w:r>
    </w:p>
    <w:p w:rsidR="000A5794" w:rsidRPr="00D11604" w:rsidRDefault="000A5794" w:rsidP="00EE0231">
      <w:pPr>
        <w:pStyle w:val="1"/>
        <w:spacing w:after="200"/>
        <w:rPr>
          <w:rFonts w:ascii="Arial Narrow" w:hAnsi="Arial Narrow" w:cs="Calibri"/>
          <w:b/>
        </w:rPr>
      </w:pPr>
    </w:p>
    <w:p w:rsidR="001701B4" w:rsidRPr="00D11604" w:rsidRDefault="000A5794" w:rsidP="00EE0231">
      <w:pPr>
        <w:pStyle w:val="ae"/>
        <w:spacing w:after="200"/>
        <w:jc w:val="center"/>
        <w:rPr>
          <w:rFonts w:ascii="Arial Narrow" w:hAnsi="Arial Narrow" w:cs="Calibri"/>
          <w:b/>
        </w:rPr>
      </w:pPr>
      <w:r w:rsidRPr="00D11604">
        <w:rPr>
          <w:rFonts w:ascii="Arial Narrow" w:hAnsi="Arial Narrow" w:cs="Calibri"/>
          <w:b/>
        </w:rPr>
        <w:t>Ερώτηση:</w:t>
      </w:r>
    </w:p>
    <w:p w:rsidR="00EE0231" w:rsidRPr="00D11604" w:rsidRDefault="00EE0231" w:rsidP="00EE0231">
      <w:pPr>
        <w:numPr>
          <w:ilvl w:val="0"/>
          <w:numId w:val="3"/>
        </w:numPr>
        <w:tabs>
          <w:tab w:val="decimal" w:pos="864"/>
        </w:tabs>
        <w:spacing w:before="288" w:line="360" w:lineRule="auto"/>
        <w:ind w:left="0" w:right="432"/>
        <w:jc w:val="both"/>
        <w:rPr>
          <w:rFonts w:ascii="Arial Narrow" w:hAnsi="Arial Narrow"/>
          <w:color w:val="000000"/>
          <w:spacing w:val="-1"/>
        </w:rPr>
      </w:pPr>
      <w:r w:rsidRPr="00D11604">
        <w:rPr>
          <w:rFonts w:ascii="Arial Narrow" w:hAnsi="Arial Narrow"/>
          <w:color w:val="000000"/>
          <w:spacing w:val="-1"/>
        </w:rPr>
        <w:t xml:space="preserve">Εταιρεία, που εφαρμόζει τα ΔΠΧΑ, προτίθεται να προτείνει στούς μετόχους, αφού </w:t>
      </w:r>
      <w:r w:rsidRPr="00D11604">
        <w:rPr>
          <w:rFonts w:ascii="Arial Narrow" w:hAnsi="Arial Narrow"/>
          <w:color w:val="000000"/>
          <w:spacing w:val="-4"/>
        </w:rPr>
        <w:t xml:space="preserve">αφαιρεθούν τα κατά νόμο προβλεπόμενα ποσά, δηλαδή φόρος εισοδήματος, κράτηση για </w:t>
      </w:r>
      <w:r w:rsidRPr="00D11604">
        <w:rPr>
          <w:rFonts w:ascii="Arial Narrow" w:hAnsi="Arial Narrow"/>
          <w:color w:val="000000"/>
          <w:spacing w:val="1"/>
        </w:rPr>
        <w:t>τακτικό αποθεματικό κα</w:t>
      </w:r>
      <w:r w:rsidR="00D11604" w:rsidRPr="00D11604">
        <w:rPr>
          <w:rFonts w:ascii="Arial Narrow" w:hAnsi="Arial Narrow"/>
          <w:color w:val="000000"/>
          <w:spacing w:val="1"/>
        </w:rPr>
        <w:t>ι</w:t>
      </w:r>
      <w:r w:rsidRPr="00D11604">
        <w:rPr>
          <w:rFonts w:ascii="Arial Narrow" w:hAnsi="Arial Narrow"/>
          <w:color w:val="000000"/>
          <w:spacing w:val="1"/>
        </w:rPr>
        <w:t xml:space="preserve"> υποχρεωτικό 1° μέρισμα, την διανομή ενός ποσού από το υπόλοιπο κερδών της κλειόμενης χρήσης ως οικειοθελή παροχή στο προσωπικό. </w:t>
      </w:r>
      <w:r w:rsidRPr="00D11604">
        <w:rPr>
          <w:rFonts w:ascii="Arial Narrow" w:hAnsi="Arial Narrow"/>
          <w:color w:val="000000"/>
        </w:rPr>
        <w:t xml:space="preserve">Η παροχή αυτή δεν σχετίζεται άμεσα με κάποια επίτευξη εταιρικού στόχού αλλά έχει </w:t>
      </w:r>
      <w:r w:rsidRPr="00D11604">
        <w:rPr>
          <w:rFonts w:ascii="Arial Narrow" w:hAnsi="Arial Narrow"/>
          <w:color w:val="000000"/>
          <w:spacing w:val="-5"/>
        </w:rPr>
        <w:t xml:space="preserve">επετειακό χαρακτήρα κατ προτείνεται να δοθεί εκτάκτως και ανεξαιρέτως σε όλους τους </w:t>
      </w:r>
      <w:r w:rsidRPr="00D11604">
        <w:rPr>
          <w:rFonts w:ascii="Arial Narrow" w:hAnsi="Arial Narrow"/>
          <w:color w:val="000000"/>
          <w:spacing w:val="-1"/>
        </w:rPr>
        <w:t xml:space="preserve">εργαζομένους που βρίσκονται σε υπηρεσία, νέους ή παλαιούς, είτε είχαν συνεισφορά είτε </w:t>
      </w:r>
      <w:r w:rsidRPr="00D11604">
        <w:rPr>
          <w:rFonts w:ascii="Arial Narrow" w:hAnsi="Arial Narrow"/>
          <w:color w:val="000000"/>
          <w:spacing w:val="-5"/>
        </w:rPr>
        <w:t xml:space="preserve">όχι στα κέρδη και γενικότερα στη πορεία της εταιρείας. Η εταιρεία δεν έχει ούτε είχε στο </w:t>
      </w:r>
      <w:r w:rsidRPr="00D11604">
        <w:rPr>
          <w:rFonts w:ascii="Arial Narrow" w:hAnsi="Arial Narrow"/>
          <w:color w:val="000000"/>
          <w:spacing w:val="-2"/>
        </w:rPr>
        <w:t xml:space="preserve">παρελθόν κάποια πολιτική έκτακτων αμοιβών ούτε στο προσωπικό ούτε στα μέλη ΔΣ ούτε </w:t>
      </w:r>
      <w:r w:rsidRPr="00D11604">
        <w:rPr>
          <w:rFonts w:ascii="Arial Narrow" w:hAnsi="Arial Narrow"/>
          <w:color w:val="000000"/>
          <w:spacing w:val="-1"/>
        </w:rPr>
        <w:t xml:space="preserve">σε άλλο τρίτο. Η Γενική Συνέλευση των Μετόχων, αποφασίζοντας κατά πλειοψηφία δεν </w:t>
      </w:r>
      <w:r w:rsidRPr="00D11604">
        <w:rPr>
          <w:rFonts w:ascii="Arial Narrow" w:hAnsi="Arial Narrow"/>
          <w:color w:val="000000"/>
        </w:rPr>
        <w:t xml:space="preserve">είναι γνωστό αν </w:t>
      </w:r>
      <w:r w:rsidR="00D11604" w:rsidRPr="00D11604">
        <w:rPr>
          <w:rFonts w:ascii="Arial Narrow" w:hAnsi="Arial Narrow"/>
          <w:color w:val="000000"/>
        </w:rPr>
        <w:t>θ</w:t>
      </w:r>
      <w:r w:rsidRPr="00D11604">
        <w:rPr>
          <w:rFonts w:ascii="Arial Narrow" w:hAnsi="Arial Narrow"/>
          <w:color w:val="000000"/>
        </w:rPr>
        <w:t>α εγκρίνει την έκτακτη αυτή διανομή. Το υποχρεωτικό 1</w:t>
      </w:r>
      <w:r w:rsidRPr="00D11604">
        <w:rPr>
          <w:rFonts w:ascii="Arial Narrow" w:hAnsi="Arial Narrow"/>
          <w:color w:val="000000"/>
          <w:vertAlign w:val="superscript"/>
        </w:rPr>
        <w:t>ο</w:t>
      </w:r>
      <w:r w:rsidRPr="00D11604">
        <w:rPr>
          <w:rFonts w:ascii="Arial Narrow" w:hAnsi="Arial Narrow"/>
          <w:color w:val="000000"/>
        </w:rPr>
        <w:t xml:space="preserve">  μέρισμα </w:t>
      </w:r>
      <w:r w:rsidRPr="00D11604">
        <w:rPr>
          <w:rFonts w:ascii="Arial Narrow" w:hAnsi="Arial Narrow"/>
          <w:color w:val="000000"/>
          <w:spacing w:val="-2"/>
        </w:rPr>
        <w:t>ανέρχεται σε 200 χιλ και το πρόσθετο διανεμδμενο ποσά στα προσωπικό, ανέρχεται σε 50 χ</w:t>
      </w:r>
      <w:r w:rsidRPr="00D11604">
        <w:rPr>
          <w:rFonts w:ascii="Arial Narrow" w:hAnsi="Arial Narrow"/>
          <w:color w:val="000000"/>
          <w:spacing w:val="-4"/>
        </w:rPr>
        <w:t>ιλ.</w:t>
      </w:r>
    </w:p>
    <w:p w:rsidR="00EE0231" w:rsidRPr="00D11604" w:rsidRDefault="00EE0231" w:rsidP="00EE0231">
      <w:pPr>
        <w:numPr>
          <w:ilvl w:val="0"/>
          <w:numId w:val="3"/>
        </w:numPr>
        <w:tabs>
          <w:tab w:val="decimal" w:pos="864"/>
        </w:tabs>
        <w:spacing w:before="324" w:line="360" w:lineRule="auto"/>
        <w:ind w:left="0" w:right="432"/>
        <w:jc w:val="both"/>
        <w:rPr>
          <w:rFonts w:ascii="Arial Narrow" w:hAnsi="Arial Narrow"/>
          <w:color w:val="000000"/>
          <w:spacing w:val="1"/>
        </w:rPr>
      </w:pPr>
      <w:r w:rsidRPr="00D11604">
        <w:rPr>
          <w:rFonts w:ascii="Arial Narrow" w:hAnsi="Arial Narrow"/>
          <w:color w:val="000000"/>
          <w:spacing w:val="1"/>
        </w:rPr>
        <w:t xml:space="preserve">Ως προς την ουσία της συναλλαγής, η βούληση των μετόχων είναι να εκληφθεί η </w:t>
      </w:r>
      <w:r w:rsidRPr="00D11604">
        <w:rPr>
          <w:rFonts w:ascii="Arial Narrow" w:hAnsi="Arial Narrow"/>
          <w:color w:val="000000"/>
          <w:spacing w:val="3"/>
        </w:rPr>
        <w:t xml:space="preserve">χορήγηση τον ποσού αυτού ως διανομή προς μη μετόχους. Για την αξιολόγηση της </w:t>
      </w:r>
      <w:r w:rsidRPr="00D11604">
        <w:rPr>
          <w:rFonts w:ascii="Arial Narrow" w:hAnsi="Arial Narrow"/>
          <w:color w:val="000000"/>
          <w:spacing w:val="-3"/>
        </w:rPr>
        <w:t>οικονομικής λογικής της συναλλαγής, λαμβάνονται υπόψη τα εξής:</w:t>
      </w:r>
    </w:p>
    <w:p w:rsidR="00EE0231" w:rsidRPr="00D11604" w:rsidRDefault="00EE0231" w:rsidP="00EE0231">
      <w:pPr>
        <w:spacing w:line="360" w:lineRule="auto"/>
        <w:ind w:right="432"/>
        <w:jc w:val="both"/>
        <w:rPr>
          <w:rFonts w:ascii="Arial Narrow" w:hAnsi="Arial Narrow"/>
          <w:color w:val="000000"/>
          <w:spacing w:val="-6"/>
        </w:rPr>
      </w:pPr>
      <w:r w:rsidRPr="00D11604">
        <w:rPr>
          <w:rFonts w:ascii="Arial Narrow" w:hAnsi="Arial Narrow"/>
          <w:color w:val="000000"/>
          <w:spacing w:val="-6"/>
        </w:rPr>
        <w:t xml:space="preserve">α} η ουσία της συναλλαγής με βάση τη φορολογική νομοθεσία αντιμετωπίζεται ως διάθεση </w:t>
      </w:r>
      <w:r w:rsidRPr="00D11604">
        <w:rPr>
          <w:rFonts w:ascii="Arial Narrow" w:hAnsi="Arial Narrow"/>
          <w:color w:val="000000"/>
          <w:spacing w:val="10"/>
        </w:rPr>
        <w:t xml:space="preserve">κερδών και μάλιστα ως μέρισμα και εκ τον λόγον αυτού επιβάλλεται ανάλογη </w:t>
      </w:r>
      <w:r w:rsidRPr="00D11604">
        <w:rPr>
          <w:rFonts w:ascii="Arial Narrow" w:hAnsi="Arial Narrow"/>
          <w:color w:val="000000"/>
          <w:spacing w:val="-3"/>
        </w:rPr>
        <w:t>παρακράτηση φόρου όπως ισχύει κάθε φορά (σήμερα 5%) (βλ ΠΟΛ 1042/2015).</w:t>
      </w:r>
    </w:p>
    <w:p w:rsidR="00EE0231" w:rsidRPr="00D11604" w:rsidRDefault="00EE0231" w:rsidP="00EE0231">
      <w:pPr>
        <w:spacing w:before="36" w:line="360" w:lineRule="auto"/>
        <w:ind w:right="432"/>
        <w:jc w:val="both"/>
        <w:rPr>
          <w:rFonts w:ascii="Arial Narrow" w:hAnsi="Arial Narrow"/>
          <w:color w:val="000000"/>
          <w:spacing w:val="5"/>
        </w:rPr>
      </w:pPr>
      <w:r w:rsidRPr="00D11604">
        <w:rPr>
          <w:rFonts w:ascii="Arial Narrow" w:hAnsi="Arial Narrow"/>
          <w:color w:val="000000"/>
          <w:spacing w:val="5"/>
        </w:rPr>
        <w:t xml:space="preserve">β) η συναλλαγή από άποψη εμπορικού δικαίου, ομοίως θεωρείται σύμφωνα με τη </w:t>
      </w:r>
      <w:r w:rsidRPr="00D11604">
        <w:rPr>
          <w:rFonts w:ascii="Arial Narrow" w:hAnsi="Arial Narrow"/>
          <w:color w:val="000000"/>
          <w:spacing w:val="-1"/>
        </w:rPr>
        <w:t xml:space="preserve">βιβλιογραφία, ως διανομή ποσών από τα κέρδη και δηλαδή δεν αποτελεί εταιρικό βάρος </w:t>
      </w:r>
      <w:r w:rsidRPr="00D11604">
        <w:rPr>
          <w:rFonts w:ascii="Arial Narrow" w:hAnsi="Arial Narrow"/>
          <w:color w:val="000000"/>
          <w:spacing w:val="-4"/>
        </w:rPr>
        <w:t xml:space="preserve">αλλά αντιμετωπίζεται ως διάθεση κερδών </w:t>
      </w:r>
      <w:r w:rsidRPr="00D11604">
        <w:rPr>
          <w:rFonts w:ascii="Arial Narrow" w:hAnsi="Arial Narrow"/>
          <w:i/>
          <w:color w:val="000000"/>
          <w:spacing w:val="-4"/>
        </w:rPr>
        <w:t xml:space="preserve">(βλ. Γ. </w:t>
      </w:r>
      <w:proofErr w:type="spellStart"/>
      <w:r w:rsidRPr="00D11604">
        <w:rPr>
          <w:rFonts w:ascii="Arial Narrow" w:hAnsi="Arial Narrow"/>
          <w:i/>
          <w:color w:val="000000"/>
          <w:spacing w:val="-4"/>
        </w:rPr>
        <w:t>Αλη</w:t>
      </w:r>
      <w:r w:rsidR="00D11604" w:rsidRPr="00D11604">
        <w:rPr>
          <w:rFonts w:ascii="Arial Narrow" w:hAnsi="Arial Narrow"/>
          <w:i/>
          <w:color w:val="000000"/>
          <w:spacing w:val="-4"/>
        </w:rPr>
        <w:t>φ</w:t>
      </w:r>
      <w:r w:rsidRPr="00D11604">
        <w:rPr>
          <w:rFonts w:ascii="Arial Narrow" w:hAnsi="Arial Narrow"/>
          <w:i/>
          <w:color w:val="000000"/>
          <w:spacing w:val="-4"/>
        </w:rPr>
        <w:t>αντής</w:t>
      </w:r>
      <w:proofErr w:type="spellEnd"/>
      <w:r w:rsidRPr="00D11604">
        <w:rPr>
          <w:rFonts w:ascii="Arial Narrow" w:hAnsi="Arial Narrow"/>
          <w:i/>
          <w:color w:val="000000"/>
          <w:spacing w:val="-4"/>
        </w:rPr>
        <w:t>, «</w:t>
      </w:r>
      <w:proofErr w:type="spellStart"/>
      <w:r w:rsidRPr="00D11604">
        <w:rPr>
          <w:rFonts w:ascii="Arial Narrow" w:hAnsi="Arial Narrow"/>
          <w:i/>
          <w:color w:val="000000"/>
          <w:spacing w:val="-4"/>
        </w:rPr>
        <w:t>Δτανεμόμενα</w:t>
      </w:r>
      <w:proofErr w:type="spellEnd"/>
      <w:r w:rsidRPr="00D11604">
        <w:rPr>
          <w:rFonts w:ascii="Arial Narrow" w:hAnsi="Arial Narrow"/>
          <w:i/>
          <w:color w:val="000000"/>
          <w:spacing w:val="-4"/>
        </w:rPr>
        <w:t xml:space="preserve"> κέρδη ΑΕ κατ </w:t>
      </w:r>
      <w:r w:rsidRPr="00D11604">
        <w:rPr>
          <w:rFonts w:ascii="Arial Narrow" w:hAnsi="Arial Narrow"/>
          <w:i/>
          <w:color w:val="000000"/>
          <w:spacing w:val="-2"/>
        </w:rPr>
        <w:t xml:space="preserve">ΕΠΕ βάσει των ν. 4548/2018 και 4587/2018 για την αναμόρφωση τον δικαίου ανωνύμων </w:t>
      </w:r>
      <w:r w:rsidRPr="00D11604">
        <w:rPr>
          <w:rFonts w:ascii="Arial Narrow" w:hAnsi="Arial Narrow"/>
          <w:i/>
          <w:color w:val="000000"/>
          <w:spacing w:val="-4"/>
        </w:rPr>
        <w:t xml:space="preserve">εταιρειών». 2018, σελ. 285 κατ Εμμανουήλ </w:t>
      </w:r>
      <w:proofErr w:type="spellStart"/>
      <w:r w:rsidRPr="00D11604">
        <w:rPr>
          <w:rFonts w:ascii="Arial Narrow" w:hAnsi="Arial Narrow"/>
          <w:i/>
          <w:color w:val="000000"/>
          <w:spacing w:val="-4"/>
        </w:rPr>
        <w:t>Σακέλλης</w:t>
      </w:r>
      <w:proofErr w:type="spellEnd"/>
      <w:r w:rsidRPr="00D11604">
        <w:rPr>
          <w:rFonts w:ascii="Arial Narrow" w:hAnsi="Arial Narrow"/>
          <w:i/>
          <w:color w:val="000000"/>
          <w:spacing w:val="-4"/>
        </w:rPr>
        <w:t xml:space="preserve"> «Πανδέκτης το</w:t>
      </w:r>
      <w:r w:rsidR="00D11604" w:rsidRPr="00D11604">
        <w:rPr>
          <w:rFonts w:ascii="Arial Narrow" w:hAnsi="Arial Narrow"/>
          <w:i/>
          <w:color w:val="000000"/>
          <w:spacing w:val="-4"/>
        </w:rPr>
        <w:t>υ</w:t>
      </w:r>
      <w:r w:rsidRPr="00D11604">
        <w:rPr>
          <w:rFonts w:ascii="Arial Narrow" w:hAnsi="Arial Narrow"/>
          <w:i/>
          <w:color w:val="000000"/>
          <w:spacing w:val="-4"/>
        </w:rPr>
        <w:t xml:space="preserve"> Λογιστή, Τόμος Ε. σελ. </w:t>
      </w:r>
      <w:r w:rsidRPr="00D11604">
        <w:rPr>
          <w:rFonts w:ascii="Arial Narrow" w:hAnsi="Arial Narrow"/>
          <w:i/>
          <w:color w:val="000000"/>
        </w:rPr>
        <w:t>4069 κατ 4070, καθώς κατ Λεωνίδας Γεωργακόπουλος Εγχειρίδιο Εμπορικού Δικαίου,</w:t>
      </w:r>
      <w:r w:rsidRPr="00D11604">
        <w:rPr>
          <w:rFonts w:ascii="Arial Narrow" w:hAnsi="Arial Narrow"/>
          <w:color w:val="000000"/>
        </w:rPr>
        <w:t xml:space="preserve"> </w:t>
      </w:r>
      <w:r w:rsidRPr="00D11604">
        <w:rPr>
          <w:rFonts w:ascii="Arial Narrow" w:hAnsi="Arial Narrow"/>
          <w:i/>
          <w:color w:val="000000"/>
          <w:spacing w:val="-2"/>
        </w:rPr>
        <w:t>δεύτερος Τόμος, σελ 530).</w:t>
      </w:r>
    </w:p>
    <w:p w:rsidR="00EE0231" w:rsidRPr="00D11604" w:rsidRDefault="00EE0231" w:rsidP="00EE0231">
      <w:pPr>
        <w:spacing w:before="288" w:line="360" w:lineRule="auto"/>
        <w:ind w:right="1656"/>
        <w:jc w:val="both"/>
        <w:rPr>
          <w:rFonts w:ascii="Arial Narrow" w:hAnsi="Arial Narrow"/>
          <w:color w:val="000000"/>
          <w:spacing w:val="-5"/>
        </w:rPr>
      </w:pPr>
      <w:r w:rsidRPr="00D11604">
        <w:rPr>
          <w:rFonts w:ascii="Arial Narrow" w:hAnsi="Arial Narrow"/>
          <w:color w:val="000000"/>
          <w:spacing w:val="-5"/>
        </w:rPr>
        <w:t>2. Ως προς τον τύπο της συναλλαγής προκύπτουν ζητήματα απεικόνισης καθώς: α} Τα ΔΠΧΑ δεν μεταχειρίζονται Θέματα διανομής.</w:t>
      </w:r>
    </w:p>
    <w:p w:rsidR="00EE0231" w:rsidRPr="00D11604" w:rsidRDefault="00EE0231" w:rsidP="00EE0231">
      <w:pPr>
        <w:spacing w:line="360" w:lineRule="auto"/>
        <w:ind w:right="432"/>
        <w:jc w:val="both"/>
        <w:rPr>
          <w:rFonts w:ascii="Arial Narrow" w:hAnsi="Arial Narrow"/>
          <w:color w:val="000000"/>
          <w:spacing w:val="-5"/>
        </w:rPr>
      </w:pPr>
      <w:r w:rsidRPr="00D11604">
        <w:rPr>
          <w:rFonts w:ascii="Arial Narrow" w:hAnsi="Arial Narrow"/>
          <w:color w:val="000000"/>
          <w:spacing w:val="-5"/>
        </w:rPr>
        <w:lastRenderedPageBreak/>
        <w:t xml:space="preserve">Ειδικότερα, στο ΔΑΠ 32, παρ. 35 προβλέπεται ότι η διανομή μερίσματος στούς μετόχούς εμφανίζεται στα Ίδια Κεφάλαια, όμως στν ΔΑΠ 1, και ειδικότερα στις παραγράφους που </w:t>
      </w:r>
      <w:r w:rsidRPr="00D11604">
        <w:rPr>
          <w:rFonts w:ascii="Arial Narrow" w:hAnsi="Arial Narrow"/>
          <w:color w:val="000000"/>
          <w:spacing w:val="5"/>
        </w:rPr>
        <w:t xml:space="preserve">ρυθμίζούν την Κατάσταση Μεταβολών Ιδίων Κεφαλαίων (ή Καθαρής Θέσης) δεν </w:t>
      </w:r>
      <w:r w:rsidRPr="00D11604">
        <w:rPr>
          <w:rFonts w:ascii="Arial Narrow" w:hAnsi="Arial Narrow"/>
          <w:color w:val="000000"/>
          <w:spacing w:val="-4"/>
        </w:rPr>
        <w:t>προβλέπεται η δυνατότητα διανομής μερίσματος σε μη μετόχούς.</w:t>
      </w:r>
    </w:p>
    <w:p w:rsidR="00EE0231" w:rsidRPr="00D11604" w:rsidRDefault="00EE0231" w:rsidP="00EE0231">
      <w:pPr>
        <w:spacing w:before="36" w:line="360" w:lineRule="auto"/>
        <w:ind w:right="432"/>
        <w:jc w:val="both"/>
        <w:rPr>
          <w:rFonts w:ascii="Arial Narrow" w:hAnsi="Arial Narrow"/>
          <w:color w:val="01070C"/>
          <w:spacing w:val="-2"/>
        </w:rPr>
      </w:pPr>
      <w:r w:rsidRPr="00D11604">
        <w:rPr>
          <w:rFonts w:ascii="Arial Narrow" w:hAnsi="Arial Narrow"/>
          <w:color w:val="000000"/>
        </w:rPr>
        <w:t xml:space="preserve">Επιπλέον, το ΔΑΠ 1 στο μέρος που περιγράφει τα περιεχόμενα και τη λειτουργία της </w:t>
      </w:r>
      <w:r w:rsidRPr="00D11604">
        <w:rPr>
          <w:rFonts w:ascii="Arial Narrow" w:hAnsi="Arial Narrow"/>
          <w:color w:val="000000"/>
          <w:spacing w:val="-4"/>
        </w:rPr>
        <w:t xml:space="preserve">Κατάστασης Μεταβολών Ιδίων Κεφαλαίων, αναφέρει </w:t>
      </w:r>
      <w:r w:rsidR="00D11604" w:rsidRPr="00D11604">
        <w:rPr>
          <w:rFonts w:ascii="Arial Narrow" w:hAnsi="Arial Narrow"/>
          <w:color w:val="000000"/>
          <w:spacing w:val="-4"/>
        </w:rPr>
        <w:t>ότι</w:t>
      </w:r>
      <w:r w:rsidRPr="00D11604">
        <w:rPr>
          <w:rFonts w:ascii="Arial Narrow" w:hAnsi="Arial Narrow"/>
          <w:color w:val="000000"/>
          <w:spacing w:val="-4"/>
        </w:rPr>
        <w:t xml:space="preserve"> σε αυτή καταχωρούνται, εκτός  </w:t>
      </w:r>
      <w:r w:rsidRPr="00D11604">
        <w:rPr>
          <w:rFonts w:ascii="Arial Narrow" w:hAnsi="Arial Narrow"/>
          <w:color w:val="01070C"/>
          <w:spacing w:val="-2"/>
        </w:rPr>
        <w:t>των συναλλαγών με τους μετόχούς και των εξόδων που σχετίζονται</w:t>
      </w:r>
      <w:r w:rsidRPr="00D11604">
        <w:rPr>
          <w:rFonts w:ascii="Arial Narrow" w:hAnsi="Arial Narrow"/>
          <w:color w:val="0A182E"/>
          <w:spacing w:val="-2"/>
        </w:rPr>
        <w:t xml:space="preserve"> με</w:t>
      </w:r>
      <w:r w:rsidRPr="00D11604">
        <w:rPr>
          <w:rFonts w:ascii="Arial Narrow" w:hAnsi="Arial Narrow"/>
          <w:color w:val="01070C"/>
          <w:spacing w:val="-2"/>
        </w:rPr>
        <w:t xml:space="preserve"> αυτές, α) τα </w:t>
      </w:r>
      <w:r w:rsidRPr="00D11604">
        <w:rPr>
          <w:rFonts w:ascii="Arial Narrow" w:hAnsi="Arial Narrow"/>
          <w:color w:val="01070C"/>
          <w:spacing w:val="-7"/>
        </w:rPr>
        <w:t>αποτελέσματα της χρήσης (έσοδα, έξοδα,</w:t>
      </w:r>
      <w:r w:rsidRPr="00D11604">
        <w:rPr>
          <w:rFonts w:ascii="Arial Narrow" w:hAnsi="Arial Narrow"/>
          <w:color w:val="0A182E"/>
          <w:spacing w:val="-7"/>
        </w:rPr>
        <w:t xml:space="preserve"> κέρδη</w:t>
      </w:r>
      <w:r w:rsidRPr="00D11604">
        <w:rPr>
          <w:rFonts w:ascii="Arial Narrow" w:hAnsi="Arial Narrow"/>
          <w:color w:val="01070C"/>
          <w:spacing w:val="-7"/>
        </w:rPr>
        <w:t xml:space="preserve"> και ζημίες), β) κάθε άλλο στοιχείο που από </w:t>
      </w:r>
      <w:r w:rsidRPr="00D11604">
        <w:rPr>
          <w:rFonts w:ascii="Arial Narrow" w:hAnsi="Arial Narrow"/>
          <w:color w:val="01070C"/>
          <w:spacing w:val="-11"/>
        </w:rPr>
        <w:t>τα</w:t>
      </w:r>
      <w:r w:rsidRPr="00D11604">
        <w:rPr>
          <w:rFonts w:ascii="Arial Narrow" w:hAnsi="Arial Narrow"/>
          <w:color w:val="0A182E"/>
          <w:spacing w:val="-11"/>
        </w:rPr>
        <w:t xml:space="preserve"> πρότυπα</w:t>
      </w:r>
      <w:r w:rsidRPr="00D11604">
        <w:rPr>
          <w:rFonts w:ascii="Arial Narrow" w:hAnsi="Arial Narrow"/>
          <w:color w:val="01070C"/>
          <w:spacing w:val="-11"/>
        </w:rPr>
        <w:t xml:space="preserve"> προβλέπεται η αναγνώριση το</w:t>
      </w:r>
      <w:r w:rsidR="00D11604" w:rsidRPr="00D11604">
        <w:rPr>
          <w:rFonts w:ascii="Arial Narrow" w:hAnsi="Arial Narrow"/>
          <w:color w:val="01070C"/>
          <w:spacing w:val="-11"/>
        </w:rPr>
        <w:t>υ</w:t>
      </w:r>
      <w:r w:rsidRPr="00D11604">
        <w:rPr>
          <w:rFonts w:ascii="Arial Narrow" w:hAnsi="Arial Narrow"/>
          <w:color w:val="0A182E"/>
          <w:spacing w:val="-11"/>
        </w:rPr>
        <w:t xml:space="preserve"> στη καθαρή</w:t>
      </w:r>
      <w:r w:rsidRPr="00D11604">
        <w:rPr>
          <w:rFonts w:ascii="Arial Narrow" w:hAnsi="Arial Narrow"/>
          <w:color w:val="01070C"/>
          <w:spacing w:val="-11"/>
        </w:rPr>
        <w:t xml:space="preserve"> θέση. Η</w:t>
      </w:r>
      <w:r w:rsidRPr="00D11604">
        <w:rPr>
          <w:rFonts w:ascii="Arial Narrow" w:hAnsi="Arial Narrow"/>
          <w:color w:val="0A182E"/>
          <w:spacing w:val="-11"/>
        </w:rPr>
        <w:t xml:space="preserve"> διανομή</w:t>
      </w:r>
      <w:r w:rsidRPr="00D11604">
        <w:rPr>
          <w:rFonts w:ascii="Arial Narrow" w:hAnsi="Arial Narrow"/>
          <w:color w:val="01070C"/>
          <w:spacing w:val="-11"/>
        </w:rPr>
        <w:t xml:space="preserve"> μερίσματος </w:t>
      </w:r>
      <w:r w:rsidRPr="00D11604">
        <w:rPr>
          <w:rFonts w:ascii="Arial Narrow" w:hAnsi="Arial Narrow"/>
          <w:i/>
          <w:color w:val="01070C"/>
          <w:spacing w:val="-11"/>
          <w:w w:val="95"/>
        </w:rPr>
        <w:t>σε</w:t>
      </w:r>
      <w:r w:rsidRPr="00D11604">
        <w:rPr>
          <w:rFonts w:ascii="Arial Narrow" w:hAnsi="Arial Narrow"/>
          <w:color w:val="0A182E"/>
          <w:spacing w:val="-11"/>
        </w:rPr>
        <w:t xml:space="preserve"> μη </w:t>
      </w:r>
      <w:r w:rsidRPr="00D11604">
        <w:rPr>
          <w:rFonts w:ascii="Arial Narrow" w:hAnsi="Arial Narrow"/>
          <w:color w:val="01070C"/>
          <w:spacing w:val="-5"/>
        </w:rPr>
        <w:t>μετόχους δεν ρυθμίζεται από κάποιο πρότυπο ώστε να εμφανιστεί</w:t>
      </w:r>
      <w:r w:rsidRPr="00D11604">
        <w:rPr>
          <w:rFonts w:ascii="Arial Narrow" w:hAnsi="Arial Narrow"/>
          <w:color w:val="0A182E"/>
          <w:spacing w:val="-5"/>
        </w:rPr>
        <w:t xml:space="preserve"> στα</w:t>
      </w:r>
      <w:r w:rsidRPr="00D11604">
        <w:rPr>
          <w:rFonts w:ascii="Arial Narrow" w:hAnsi="Arial Narrow"/>
          <w:color w:val="01070C"/>
          <w:spacing w:val="-5"/>
        </w:rPr>
        <w:t xml:space="preserve"> λοιπά συνολικά </w:t>
      </w:r>
      <w:r w:rsidRPr="00D11604">
        <w:rPr>
          <w:rFonts w:ascii="Arial Narrow" w:hAnsi="Arial Narrow"/>
          <w:color w:val="01070C"/>
          <w:spacing w:val="-2"/>
        </w:rPr>
        <w:t>εισοδήματα.</w:t>
      </w:r>
    </w:p>
    <w:p w:rsidR="00EE0231" w:rsidRPr="00D11604" w:rsidRDefault="00EE0231" w:rsidP="00EE0231">
      <w:pPr>
        <w:spacing w:before="180" w:line="360" w:lineRule="auto"/>
        <w:jc w:val="both"/>
        <w:rPr>
          <w:rFonts w:ascii="Arial Narrow" w:hAnsi="Arial Narrow"/>
          <w:color w:val="01070C"/>
          <w:spacing w:val="-8"/>
        </w:rPr>
      </w:pPr>
      <w:r w:rsidRPr="00D11604">
        <w:rPr>
          <w:rFonts w:ascii="Arial Narrow" w:hAnsi="Arial Narrow"/>
          <w:color w:val="01070C"/>
          <w:spacing w:val="-8"/>
        </w:rPr>
        <w:t>β) Το</w:t>
      </w:r>
      <w:r w:rsidRPr="00D11604">
        <w:rPr>
          <w:rFonts w:ascii="Arial Narrow" w:hAnsi="Arial Narrow"/>
          <w:color w:val="0A182E"/>
          <w:spacing w:val="-8"/>
        </w:rPr>
        <w:t xml:space="preserve"> ΔΑΠ</w:t>
      </w:r>
      <w:r w:rsidRPr="00D11604">
        <w:rPr>
          <w:rFonts w:ascii="Arial Narrow" w:hAnsi="Arial Narrow"/>
          <w:color w:val="01070C"/>
          <w:spacing w:val="-8"/>
        </w:rPr>
        <w:t xml:space="preserve"> 19, το οποίο πραγματεύεται τις παροχές</w:t>
      </w:r>
      <w:r w:rsidRPr="00D11604">
        <w:rPr>
          <w:rFonts w:ascii="Arial Narrow" w:hAnsi="Arial Narrow"/>
          <w:color w:val="0A182E"/>
          <w:spacing w:val="-8"/>
        </w:rPr>
        <w:t xml:space="preserve"> στο</w:t>
      </w:r>
      <w:r w:rsidRPr="00D11604">
        <w:rPr>
          <w:rFonts w:ascii="Arial Narrow" w:hAnsi="Arial Narrow"/>
          <w:color w:val="01070C"/>
          <w:spacing w:val="-8"/>
        </w:rPr>
        <w:t xml:space="preserve"> προσωπικά.</w:t>
      </w:r>
    </w:p>
    <w:p w:rsidR="00EE0231" w:rsidRPr="00D11604" w:rsidRDefault="00EE0231" w:rsidP="00EE0231">
      <w:pPr>
        <w:spacing w:line="360" w:lineRule="auto"/>
        <w:ind w:right="360"/>
        <w:jc w:val="both"/>
        <w:rPr>
          <w:rFonts w:ascii="Arial Narrow" w:hAnsi="Arial Narrow"/>
          <w:color w:val="01070C"/>
          <w:spacing w:val="-10"/>
        </w:rPr>
      </w:pPr>
      <w:r w:rsidRPr="00D11604">
        <w:rPr>
          <w:rFonts w:ascii="Arial Narrow" w:hAnsi="Arial Narrow"/>
          <w:color w:val="01070C"/>
          <w:spacing w:val="-10"/>
        </w:rPr>
        <w:t xml:space="preserve">Σύμφωνα με τη παράγραφο 11, όταν ένας εργαζόμενος παρέχει υπηρεσία σε μια λογιστική </w:t>
      </w:r>
      <w:r w:rsidRPr="00D11604">
        <w:rPr>
          <w:rFonts w:ascii="Arial Narrow" w:hAnsi="Arial Narrow"/>
          <w:color w:val="01070C"/>
          <w:spacing w:val="-5"/>
        </w:rPr>
        <w:t>περίοδο, το κόστος αυτό</w:t>
      </w:r>
      <w:r w:rsidRPr="00D11604">
        <w:rPr>
          <w:rFonts w:ascii="Arial Narrow" w:hAnsi="Arial Narrow"/>
          <w:color w:val="0A182E"/>
          <w:spacing w:val="-5"/>
        </w:rPr>
        <w:t xml:space="preserve"> θα</w:t>
      </w:r>
      <w:r w:rsidRPr="00D11604">
        <w:rPr>
          <w:rFonts w:ascii="Arial Narrow" w:hAnsi="Arial Narrow"/>
          <w:color w:val="01070C"/>
          <w:spacing w:val="-5"/>
        </w:rPr>
        <w:t xml:space="preserve"> αναγνωρίζεται στα αποτελέσματα χρήσης. Στις παραγράφους </w:t>
      </w:r>
      <w:r w:rsidRPr="00D11604">
        <w:rPr>
          <w:rFonts w:ascii="Arial Narrow" w:hAnsi="Arial Narrow"/>
          <w:color w:val="01070C"/>
          <w:spacing w:val="3"/>
        </w:rPr>
        <w:t>19</w:t>
      </w:r>
      <w:r w:rsidRPr="00D11604">
        <w:rPr>
          <w:rFonts w:ascii="Arial Narrow" w:hAnsi="Arial Narrow"/>
          <w:color w:val="0A182E"/>
          <w:spacing w:val="3"/>
        </w:rPr>
        <w:t xml:space="preserve"> και</w:t>
      </w:r>
      <w:r w:rsidRPr="00D11604">
        <w:rPr>
          <w:rFonts w:ascii="Arial Narrow" w:hAnsi="Arial Narrow"/>
          <w:color w:val="01070C"/>
          <w:spacing w:val="3"/>
        </w:rPr>
        <w:t xml:space="preserve"> επόμενες, προβλέπεται ότι μια</w:t>
      </w:r>
      <w:r w:rsidRPr="00D11604">
        <w:rPr>
          <w:rFonts w:ascii="Arial Narrow" w:hAnsi="Arial Narrow"/>
          <w:color w:val="0A182E"/>
          <w:spacing w:val="3"/>
        </w:rPr>
        <w:t xml:space="preserve"> οντότητα </w:t>
      </w:r>
      <w:r w:rsidR="00D11604" w:rsidRPr="00D11604">
        <w:rPr>
          <w:rFonts w:ascii="Arial Narrow" w:hAnsi="Arial Narrow"/>
          <w:color w:val="0A182E"/>
          <w:spacing w:val="3"/>
        </w:rPr>
        <w:t>θ</w:t>
      </w:r>
      <w:r w:rsidRPr="00D11604">
        <w:rPr>
          <w:rFonts w:ascii="Arial Narrow" w:hAnsi="Arial Narrow"/>
          <w:color w:val="0A182E"/>
          <w:spacing w:val="3"/>
        </w:rPr>
        <w:t>α</w:t>
      </w:r>
      <w:r w:rsidRPr="00D11604">
        <w:rPr>
          <w:rFonts w:ascii="Arial Narrow" w:hAnsi="Arial Narrow"/>
          <w:color w:val="01070C"/>
          <w:spacing w:val="3"/>
        </w:rPr>
        <w:t xml:space="preserve"> αναγνωρίζει ως κόστος</w:t>
      </w:r>
      <w:r w:rsidRPr="00D11604">
        <w:rPr>
          <w:rFonts w:ascii="Arial Narrow" w:hAnsi="Arial Narrow"/>
          <w:color w:val="0A182E"/>
          <w:spacing w:val="3"/>
        </w:rPr>
        <w:t xml:space="preserve"> στα </w:t>
      </w:r>
      <w:r w:rsidRPr="00D11604">
        <w:rPr>
          <w:rFonts w:ascii="Arial Narrow" w:hAnsi="Arial Narrow"/>
          <w:color w:val="01070C"/>
          <w:spacing w:val="-7"/>
        </w:rPr>
        <w:t xml:space="preserve">αποτελέσματα, το κόστος μερισμού κερδών και έκτακτων αμοιβών όταν και μόνο όταν η </w:t>
      </w:r>
      <w:r w:rsidRPr="00D11604">
        <w:rPr>
          <w:rFonts w:ascii="Arial Narrow" w:hAnsi="Arial Narrow"/>
          <w:color w:val="01070C"/>
          <w:spacing w:val="-4"/>
        </w:rPr>
        <w:t>αμοιβή αυτή:</w:t>
      </w:r>
    </w:p>
    <w:p w:rsidR="00EE0231" w:rsidRPr="00D11604" w:rsidRDefault="00EE0231" w:rsidP="00EE0231">
      <w:pPr>
        <w:spacing w:line="360" w:lineRule="auto"/>
        <w:jc w:val="both"/>
        <w:rPr>
          <w:rFonts w:ascii="Arial Narrow" w:hAnsi="Arial Narrow"/>
          <w:color w:val="01070C"/>
          <w:spacing w:val="-8"/>
        </w:rPr>
      </w:pPr>
      <w:r w:rsidRPr="00D11604">
        <w:rPr>
          <w:rFonts w:ascii="Arial Narrow" w:hAnsi="Arial Narrow"/>
          <w:color w:val="01070C"/>
          <w:spacing w:val="-8"/>
        </w:rPr>
        <w:t>ί) προκύπτει από υφιστάμενη νομική ή τεκμαιρόμενη δέσμεύση και</w:t>
      </w:r>
    </w:p>
    <w:p w:rsidR="00EE0231" w:rsidRPr="00D11604" w:rsidRDefault="00EE0231" w:rsidP="00EE0231">
      <w:pPr>
        <w:spacing w:line="360" w:lineRule="auto"/>
        <w:jc w:val="both"/>
        <w:rPr>
          <w:rFonts w:ascii="Arial Narrow" w:hAnsi="Arial Narrow"/>
          <w:color w:val="01070C"/>
          <w:spacing w:val="-8"/>
        </w:rPr>
      </w:pPr>
      <w:r w:rsidRPr="00D11604">
        <w:rPr>
          <w:rFonts w:ascii="Arial Narrow" w:hAnsi="Arial Narrow"/>
          <w:color w:val="01070C"/>
          <w:spacing w:val="-8"/>
        </w:rPr>
        <w:t>ii) μπορεί να επιμετρηθεί αξιόπιστα</w:t>
      </w:r>
    </w:p>
    <w:p w:rsidR="00EE0231" w:rsidRPr="00D11604" w:rsidRDefault="00EE0231" w:rsidP="00EE0231">
      <w:pPr>
        <w:spacing w:line="360" w:lineRule="auto"/>
        <w:ind w:right="360"/>
        <w:jc w:val="both"/>
        <w:rPr>
          <w:rFonts w:ascii="Arial Narrow" w:hAnsi="Arial Narrow"/>
          <w:color w:val="01070C"/>
          <w:spacing w:val="-11"/>
          <w:w w:val="105"/>
        </w:rPr>
      </w:pPr>
      <w:r w:rsidRPr="00D11604">
        <w:rPr>
          <w:rFonts w:ascii="Arial Narrow" w:hAnsi="Arial Narrow"/>
          <w:color w:val="01070C"/>
          <w:spacing w:val="-11"/>
          <w:w w:val="105"/>
        </w:rPr>
        <w:t xml:space="preserve">Ως </w:t>
      </w:r>
      <w:r w:rsidRPr="00D11604">
        <w:rPr>
          <w:rFonts w:ascii="Arial Narrow" w:hAnsi="Arial Narrow"/>
          <w:color w:val="01070C"/>
          <w:spacing w:val="-11"/>
        </w:rPr>
        <w:t xml:space="preserve">τεκμαιρόμενη δέσμεύση νοείται η περίπτωση όπου η οντότητα δεν έχει άλλη ρεαλιστική </w:t>
      </w:r>
      <w:r w:rsidRPr="00D11604">
        <w:rPr>
          <w:rFonts w:ascii="Arial Narrow" w:hAnsi="Arial Narrow"/>
          <w:color w:val="01070C"/>
          <w:spacing w:val="-8"/>
        </w:rPr>
        <w:t>επιλογή από το να μην καταβάλλει την αμοιβή.</w:t>
      </w:r>
    </w:p>
    <w:p w:rsidR="00EE0231" w:rsidRPr="00D11604" w:rsidRDefault="00EE0231" w:rsidP="00EE0231">
      <w:pPr>
        <w:spacing w:line="360" w:lineRule="auto"/>
        <w:ind w:right="360"/>
        <w:jc w:val="both"/>
        <w:rPr>
          <w:rFonts w:ascii="Arial Narrow" w:hAnsi="Arial Narrow"/>
          <w:color w:val="01070C"/>
          <w:spacing w:val="-7"/>
        </w:rPr>
      </w:pPr>
      <w:r w:rsidRPr="00D11604">
        <w:rPr>
          <w:rFonts w:ascii="Arial Narrow" w:hAnsi="Arial Narrow"/>
          <w:color w:val="01070C"/>
          <w:spacing w:val="-7"/>
        </w:rPr>
        <w:t>Περαιτέρω, το ίδιο πρότυπο,</w:t>
      </w:r>
      <w:r w:rsidRPr="00D11604">
        <w:rPr>
          <w:rFonts w:ascii="Arial Narrow" w:hAnsi="Arial Narrow"/>
          <w:color w:val="0A182E"/>
          <w:spacing w:val="-7"/>
        </w:rPr>
        <w:t xml:space="preserve"> στη</w:t>
      </w:r>
      <w:r w:rsidRPr="00D11604">
        <w:rPr>
          <w:rFonts w:ascii="Arial Narrow" w:hAnsi="Arial Narrow"/>
          <w:color w:val="01070C"/>
          <w:spacing w:val="-7"/>
        </w:rPr>
        <w:t xml:space="preserve"> παράγραφο 21 προβλέπει ότι ακόμα και αν δεν υπάρχει νομική δέσμεύση, αν η καταβολή ποσών</w:t>
      </w:r>
      <w:r w:rsidRPr="00D11604">
        <w:rPr>
          <w:rFonts w:ascii="Arial Narrow" w:hAnsi="Arial Narrow"/>
          <w:color w:val="0A182E"/>
          <w:spacing w:val="-7"/>
        </w:rPr>
        <w:t xml:space="preserve"> στο</w:t>
      </w:r>
      <w:r w:rsidRPr="00D11604">
        <w:rPr>
          <w:rFonts w:ascii="Arial Narrow" w:hAnsi="Arial Narrow"/>
          <w:color w:val="01070C"/>
          <w:spacing w:val="-7"/>
        </w:rPr>
        <w:t xml:space="preserve"> προσωπικό αποτελεί συνήθη πρακτική της </w:t>
      </w:r>
      <w:r w:rsidRPr="00D11604">
        <w:rPr>
          <w:rFonts w:ascii="Arial Narrow" w:hAnsi="Arial Narrow"/>
          <w:color w:val="01070C"/>
          <w:spacing w:val="-9"/>
        </w:rPr>
        <w:t>οντότητας, τότε επίσης τέτοια ποσά εκλαμβάνονται ως τρέχουσες παροχές</w:t>
      </w:r>
      <w:r w:rsidRPr="00D11604">
        <w:rPr>
          <w:rFonts w:ascii="Arial Narrow" w:hAnsi="Arial Narrow"/>
          <w:color w:val="0A182E"/>
          <w:spacing w:val="-9"/>
        </w:rPr>
        <w:t xml:space="preserve"> στο</w:t>
      </w:r>
      <w:r w:rsidRPr="00D11604">
        <w:rPr>
          <w:rFonts w:ascii="Arial Narrow" w:hAnsi="Arial Narrow"/>
          <w:color w:val="01070C"/>
          <w:spacing w:val="-9"/>
        </w:rPr>
        <w:t xml:space="preserve"> προσωπικό. Τέλος,</w:t>
      </w:r>
      <w:r w:rsidRPr="00D11604">
        <w:rPr>
          <w:rFonts w:ascii="Arial Narrow" w:hAnsi="Arial Narrow"/>
          <w:color w:val="0A182E"/>
          <w:spacing w:val="-9"/>
        </w:rPr>
        <w:t xml:space="preserve"> στη</w:t>
      </w:r>
      <w:r w:rsidRPr="00D11604">
        <w:rPr>
          <w:rFonts w:ascii="Arial Narrow" w:hAnsi="Arial Narrow"/>
          <w:color w:val="01070C"/>
          <w:spacing w:val="-9"/>
        </w:rPr>
        <w:t xml:space="preserve"> παράγραφο 23 του προτύπού διευκρινίζεται ότι όταν υπάρχο</w:t>
      </w:r>
      <w:r w:rsidR="00D11604" w:rsidRPr="00D11604">
        <w:rPr>
          <w:rFonts w:ascii="Arial Narrow" w:hAnsi="Arial Narrow"/>
          <w:color w:val="01070C"/>
          <w:spacing w:val="-9"/>
        </w:rPr>
        <w:t>υ</w:t>
      </w:r>
      <w:r w:rsidRPr="00D11604">
        <w:rPr>
          <w:rFonts w:ascii="Arial Narrow" w:hAnsi="Arial Narrow"/>
          <w:color w:val="01070C"/>
          <w:spacing w:val="-9"/>
        </w:rPr>
        <w:t xml:space="preserve">ν καταβολές στο </w:t>
      </w:r>
      <w:r w:rsidRPr="00D11604">
        <w:rPr>
          <w:rFonts w:ascii="Arial Narrow" w:hAnsi="Arial Narrow"/>
          <w:color w:val="01070C"/>
          <w:spacing w:val="-6"/>
        </w:rPr>
        <w:t>προσωπικό που θεωρούνται παροχές, είτε γιατί πληρούν τα</w:t>
      </w:r>
      <w:r w:rsidRPr="00D11604">
        <w:rPr>
          <w:rFonts w:ascii="Arial Narrow" w:hAnsi="Arial Narrow"/>
          <w:color w:val="0A182E"/>
          <w:spacing w:val="-6"/>
        </w:rPr>
        <w:t xml:space="preserve"> κριτήρια</w:t>
      </w:r>
      <w:r w:rsidRPr="00D11604">
        <w:rPr>
          <w:rFonts w:ascii="Arial Narrow" w:hAnsi="Arial Narrow"/>
          <w:color w:val="01070C"/>
          <w:spacing w:val="-6"/>
        </w:rPr>
        <w:t xml:space="preserve"> της παραγράφου 19 </w:t>
      </w:r>
      <w:r w:rsidRPr="00D11604">
        <w:rPr>
          <w:rFonts w:ascii="Arial Narrow" w:hAnsi="Arial Narrow"/>
          <w:color w:val="01070C"/>
          <w:spacing w:val="-7"/>
        </w:rPr>
        <w:t xml:space="preserve">είτε αυτά της παραγράφου 21, </w:t>
      </w:r>
      <w:r w:rsidR="00D11604" w:rsidRPr="00D11604">
        <w:rPr>
          <w:rFonts w:ascii="Arial Narrow" w:hAnsi="Arial Narrow"/>
          <w:color w:val="01070C"/>
          <w:spacing w:val="-7"/>
        </w:rPr>
        <w:t>θ</w:t>
      </w:r>
      <w:r w:rsidRPr="00D11604">
        <w:rPr>
          <w:rFonts w:ascii="Arial Narrow" w:hAnsi="Arial Narrow"/>
          <w:color w:val="01070C"/>
          <w:spacing w:val="-7"/>
        </w:rPr>
        <w:t>α καταχωρούνται στα έξοδα και όχι</w:t>
      </w:r>
      <w:r w:rsidRPr="00D11604">
        <w:rPr>
          <w:rFonts w:ascii="Arial Narrow" w:hAnsi="Arial Narrow"/>
          <w:color w:val="0A182E"/>
          <w:spacing w:val="-7"/>
        </w:rPr>
        <w:t xml:space="preserve"> στα</w:t>
      </w:r>
      <w:r w:rsidRPr="00D11604">
        <w:rPr>
          <w:rFonts w:ascii="Arial Narrow" w:hAnsi="Arial Narrow"/>
          <w:color w:val="01070C"/>
          <w:spacing w:val="-7"/>
        </w:rPr>
        <w:t xml:space="preserve"> Ίδια Κεφάλαια </w:t>
      </w:r>
      <w:r w:rsidRPr="00D11604">
        <w:rPr>
          <w:rFonts w:ascii="Arial Narrow" w:hAnsi="Arial Narrow"/>
          <w:color w:val="01070C"/>
          <w:spacing w:val="-8"/>
        </w:rPr>
        <w:t>καθώς δεν αφορούν συναλλαγές με μετόχούς χωρίς όμως</w:t>
      </w:r>
      <w:r w:rsidRPr="00D11604">
        <w:rPr>
          <w:rFonts w:ascii="Arial Narrow" w:hAnsi="Arial Narrow"/>
          <w:color w:val="0A182E"/>
          <w:spacing w:val="-8"/>
        </w:rPr>
        <w:t xml:space="preserve"> να</w:t>
      </w:r>
      <w:r w:rsidRPr="00D11604">
        <w:rPr>
          <w:rFonts w:ascii="Arial Narrow" w:hAnsi="Arial Narrow"/>
          <w:color w:val="01070C"/>
          <w:spacing w:val="-8"/>
        </w:rPr>
        <w:t xml:space="preserve"> διευκρινίζεται η αντιμετώπιση στη περίπτωση που δεν πληρούνται οι προαναφερόμενες προνποθέσεις.</w:t>
      </w:r>
    </w:p>
    <w:p w:rsidR="00EE0231" w:rsidRPr="00D11604" w:rsidRDefault="00EE0231" w:rsidP="00EE0231">
      <w:pPr>
        <w:numPr>
          <w:ilvl w:val="0"/>
          <w:numId w:val="4"/>
        </w:numPr>
        <w:tabs>
          <w:tab w:val="clear" w:pos="216"/>
          <w:tab w:val="decimal" w:pos="284"/>
        </w:tabs>
        <w:spacing w:before="180" w:line="360" w:lineRule="auto"/>
        <w:ind w:left="0" w:right="360"/>
        <w:jc w:val="both"/>
        <w:rPr>
          <w:rFonts w:ascii="Arial Narrow" w:hAnsi="Arial Narrow" w:cstheme="minorHAnsi"/>
          <w:color w:val="01070C"/>
          <w:spacing w:val="-11"/>
        </w:rPr>
      </w:pPr>
      <w:r w:rsidRPr="00D11604">
        <w:rPr>
          <w:rFonts w:ascii="Arial Narrow" w:hAnsi="Arial Narrow" w:cstheme="minorHAnsi"/>
          <w:color w:val="01070C"/>
          <w:spacing w:val="-11"/>
        </w:rPr>
        <w:t>Με βάση τα ανωτέρω και εξετάζοντας τα πραγματικά γεγονότα,</w:t>
      </w:r>
      <w:r w:rsidRPr="00D11604">
        <w:rPr>
          <w:rFonts w:ascii="Arial Narrow" w:hAnsi="Arial Narrow" w:cstheme="minorHAnsi"/>
          <w:color w:val="0A182E"/>
          <w:spacing w:val="-11"/>
        </w:rPr>
        <w:t xml:space="preserve"> το</w:t>
      </w:r>
      <w:r w:rsidRPr="00D11604">
        <w:rPr>
          <w:rFonts w:ascii="Arial Narrow" w:hAnsi="Arial Narrow" w:cstheme="minorHAnsi"/>
          <w:color w:val="01070C"/>
          <w:spacing w:val="-11"/>
        </w:rPr>
        <w:t xml:space="preserve"> ανωτέρω ποσό είναι </w:t>
      </w:r>
      <w:r w:rsidRPr="00D11604">
        <w:rPr>
          <w:rFonts w:ascii="Arial Narrow" w:hAnsi="Arial Narrow" w:cstheme="minorHAnsi"/>
          <w:color w:val="01070C"/>
          <w:spacing w:val="-5"/>
        </w:rPr>
        <w:t>έκτακτο, επετειακού χαρακτήρα</w:t>
      </w:r>
      <w:r w:rsidRPr="00D11604">
        <w:rPr>
          <w:rFonts w:ascii="Arial Narrow" w:hAnsi="Arial Narrow" w:cstheme="minorHAnsi"/>
          <w:color w:val="0A182E"/>
          <w:spacing w:val="-5"/>
        </w:rPr>
        <w:t xml:space="preserve"> μη</w:t>
      </w:r>
      <w:r w:rsidRPr="00D11604">
        <w:rPr>
          <w:rFonts w:ascii="Arial Narrow" w:hAnsi="Arial Narrow" w:cstheme="minorHAnsi"/>
          <w:color w:val="01070C"/>
          <w:spacing w:val="-5"/>
        </w:rPr>
        <w:t xml:space="preserve"> συνδεόμενο με συγκεκριμένα γεγονότα επίδοσης, </w:t>
      </w:r>
      <w:r w:rsidRPr="00D11604">
        <w:rPr>
          <w:rFonts w:ascii="Arial Narrow" w:hAnsi="Arial Narrow" w:cstheme="minorHAnsi"/>
          <w:color w:val="01070C"/>
          <w:spacing w:val="-12"/>
        </w:rPr>
        <w:t xml:space="preserve">αποτελεί οικειοθελή παραχώρηση των μετόχων και κατά συνέπεια δεν πληροί καμία εκ των </w:t>
      </w:r>
      <w:r w:rsidR="00D11604" w:rsidRPr="00D11604">
        <w:rPr>
          <w:rFonts w:ascii="Arial Narrow" w:hAnsi="Arial Narrow" w:cstheme="minorHAnsi"/>
          <w:color w:val="01070C"/>
          <w:spacing w:val="-12"/>
        </w:rPr>
        <w:t xml:space="preserve">προϋποθέσεων </w:t>
      </w:r>
      <w:r w:rsidRPr="00D11604">
        <w:rPr>
          <w:rFonts w:ascii="Arial Narrow" w:hAnsi="Arial Narrow" w:cstheme="minorHAnsi"/>
          <w:color w:val="01070C"/>
          <w:spacing w:val="-9"/>
        </w:rPr>
        <w:t xml:space="preserve">τον </w:t>
      </w:r>
      <w:r w:rsidRPr="00D11604">
        <w:rPr>
          <w:rFonts w:ascii="Arial Narrow" w:hAnsi="Arial Narrow" w:cstheme="minorHAnsi"/>
          <w:color w:val="01070C"/>
          <w:spacing w:val="-9"/>
          <w:w w:val="105"/>
        </w:rPr>
        <w:t xml:space="preserve">ΔΑΠ </w:t>
      </w:r>
      <w:r w:rsidRPr="00D11604">
        <w:rPr>
          <w:rFonts w:ascii="Arial Narrow" w:hAnsi="Arial Narrow" w:cstheme="minorHAnsi"/>
          <w:color w:val="01070C"/>
          <w:spacing w:val="-9"/>
        </w:rPr>
        <w:t xml:space="preserve">19 προκειμένου να χαρακτηριστεί ως τρέχουσα παροχή παρά μόνο </w:t>
      </w:r>
      <w:r w:rsidRPr="00D11604">
        <w:rPr>
          <w:rFonts w:ascii="Arial Narrow" w:hAnsi="Arial Narrow" w:cstheme="minorHAnsi"/>
          <w:color w:val="01070C"/>
          <w:spacing w:val="-7"/>
        </w:rPr>
        <w:t>κατ' ερμηνεία μη δυνάμενη να ενταχθεί σε άλλον</w:t>
      </w:r>
      <w:r w:rsidRPr="00D11604">
        <w:rPr>
          <w:rFonts w:ascii="Arial Narrow" w:hAnsi="Arial Narrow" w:cstheme="minorHAnsi"/>
          <w:color w:val="0A182E"/>
          <w:spacing w:val="-7"/>
        </w:rPr>
        <w:t xml:space="preserve"> τύπου</w:t>
      </w:r>
      <w:r w:rsidRPr="00D11604">
        <w:rPr>
          <w:rFonts w:ascii="Arial Narrow" w:hAnsi="Arial Narrow" w:cstheme="minorHAnsi"/>
          <w:color w:val="01070C"/>
          <w:spacing w:val="-7"/>
        </w:rPr>
        <w:t xml:space="preserve"> συναλλαγή.</w:t>
      </w:r>
    </w:p>
    <w:p w:rsidR="00EE0231" w:rsidRPr="00D11604" w:rsidRDefault="00EE0231" w:rsidP="00EE0231">
      <w:pPr>
        <w:rPr>
          <w:rFonts w:ascii="Arial Narrow" w:hAnsi="Arial Narrow"/>
          <w:spacing w:val="-5"/>
        </w:rPr>
      </w:pPr>
      <w:r w:rsidRPr="00D11604">
        <w:rPr>
          <w:rFonts w:ascii="Arial Narrow" w:hAnsi="Arial Narrow"/>
          <w:spacing w:val="-5"/>
        </w:rPr>
        <w:t>Στον αντίποδα, δεν προβλέπεται από άλλο πρότυπο ειδικός χειρισμός ώστε</w:t>
      </w:r>
      <w:r w:rsidRPr="00D11604">
        <w:rPr>
          <w:rFonts w:ascii="Arial Narrow" w:hAnsi="Arial Narrow"/>
          <w:color w:val="0A182E"/>
          <w:spacing w:val="-5"/>
        </w:rPr>
        <w:t xml:space="preserve"> το ποσ</w:t>
      </w:r>
      <w:r w:rsidR="00D11604" w:rsidRPr="00D11604">
        <w:rPr>
          <w:rFonts w:ascii="Arial Narrow" w:hAnsi="Arial Narrow"/>
          <w:color w:val="0A182E"/>
          <w:spacing w:val="-5"/>
        </w:rPr>
        <w:t>ό</w:t>
      </w:r>
      <w:r w:rsidRPr="00D11604">
        <w:rPr>
          <w:rFonts w:ascii="Arial Narrow" w:hAnsi="Arial Narrow"/>
          <w:spacing w:val="-5"/>
        </w:rPr>
        <w:t xml:space="preserve"> </w:t>
      </w:r>
      <w:r w:rsidR="00D11604" w:rsidRPr="00D11604">
        <w:rPr>
          <w:rFonts w:ascii="Arial Narrow" w:hAnsi="Arial Narrow"/>
          <w:spacing w:val="-5"/>
        </w:rPr>
        <w:t xml:space="preserve"> </w:t>
      </w:r>
      <w:r w:rsidRPr="00D11604">
        <w:rPr>
          <w:rFonts w:ascii="Arial Narrow" w:hAnsi="Arial Narrow"/>
          <w:spacing w:val="-5"/>
        </w:rPr>
        <w:t xml:space="preserve">να </w:t>
      </w:r>
      <w:r w:rsidRPr="00D11604">
        <w:rPr>
          <w:rFonts w:ascii="Arial Narrow" w:hAnsi="Arial Narrow"/>
        </w:rPr>
        <w:t>εμφανιστεί σε χρέωση της καθαρής θέσης παρότι</w:t>
      </w:r>
      <w:r w:rsidRPr="00D11604">
        <w:rPr>
          <w:rFonts w:ascii="Arial Narrow" w:hAnsi="Arial Narrow"/>
          <w:color w:val="0A182E"/>
        </w:rPr>
        <w:t xml:space="preserve"> το ποσό</w:t>
      </w:r>
      <w:r w:rsidRPr="00D11604">
        <w:rPr>
          <w:rFonts w:ascii="Arial Narrow" w:hAnsi="Arial Narrow"/>
        </w:rPr>
        <w:t xml:space="preserve"> αυτό αντιμετωπίζεται ως διανομή </w:t>
      </w:r>
      <w:r w:rsidRPr="00D11604">
        <w:rPr>
          <w:rFonts w:ascii="Arial Narrow" w:hAnsi="Arial Narrow"/>
          <w:spacing w:val="-6"/>
        </w:rPr>
        <w:t xml:space="preserve">με βάση το εμπορικό και το φορολογικό δίκαιο αλλά δυνητικά και τη βούληση των ίδιων </w:t>
      </w:r>
      <w:r w:rsidRPr="00D11604">
        <w:rPr>
          <w:rFonts w:ascii="Arial Narrow" w:hAnsi="Arial Narrow"/>
          <w:spacing w:val="-10"/>
        </w:rPr>
        <w:t>των μετόχων.</w:t>
      </w:r>
    </w:p>
    <w:p w:rsidR="00EE0231" w:rsidRPr="00D11604" w:rsidRDefault="00EE0231" w:rsidP="00EE0231">
      <w:pPr>
        <w:numPr>
          <w:ilvl w:val="0"/>
          <w:numId w:val="4"/>
        </w:numPr>
        <w:tabs>
          <w:tab w:val="clear" w:pos="216"/>
          <w:tab w:val="left" w:pos="284"/>
        </w:tabs>
        <w:spacing w:before="180" w:line="360" w:lineRule="auto"/>
        <w:ind w:left="0"/>
        <w:jc w:val="both"/>
        <w:rPr>
          <w:rFonts w:ascii="Arial Narrow" w:hAnsi="Arial Narrow"/>
          <w:color w:val="01070C"/>
          <w:spacing w:val="-4"/>
        </w:rPr>
      </w:pPr>
      <w:r w:rsidRPr="00D11604">
        <w:rPr>
          <w:rFonts w:ascii="Arial Narrow" w:hAnsi="Arial Narrow"/>
          <w:color w:val="01070C"/>
          <w:spacing w:val="-4"/>
        </w:rPr>
        <w:t>Μία από τις γενικές αρχές που διέπούν τα ΔΠΧΆ είναι η ουσία να υπερισχύει τον τύπον.</w:t>
      </w:r>
    </w:p>
    <w:p w:rsidR="00EE0231" w:rsidRPr="00D11604" w:rsidRDefault="00EE0231" w:rsidP="00EE0231">
      <w:pPr>
        <w:spacing w:before="216" w:line="360" w:lineRule="auto"/>
        <w:ind w:right="360"/>
        <w:jc w:val="both"/>
        <w:rPr>
          <w:rFonts w:ascii="Arial Narrow" w:hAnsi="Arial Narrow"/>
          <w:color w:val="01070C"/>
          <w:spacing w:val="2"/>
        </w:rPr>
      </w:pPr>
      <w:r w:rsidRPr="00D11604">
        <w:rPr>
          <w:rFonts w:ascii="Arial Narrow" w:hAnsi="Arial Narrow"/>
          <w:color w:val="01070C"/>
          <w:spacing w:val="2"/>
        </w:rPr>
        <w:t>Παρακαλούμε να μας υποδείξετε ποιος είναι κατά</w:t>
      </w:r>
      <w:r w:rsidRPr="00D11604">
        <w:rPr>
          <w:rFonts w:ascii="Arial Narrow" w:hAnsi="Arial Narrow"/>
          <w:color w:val="0A182E"/>
          <w:spacing w:val="2"/>
        </w:rPr>
        <w:t xml:space="preserve"> τη</w:t>
      </w:r>
      <w:r w:rsidRPr="00D11604">
        <w:rPr>
          <w:rFonts w:ascii="Arial Narrow" w:hAnsi="Arial Narrow"/>
          <w:color w:val="01070C"/>
          <w:spacing w:val="2"/>
        </w:rPr>
        <w:t xml:space="preserve"> γνώμη σας ο ορθός τρόπος </w:t>
      </w:r>
      <w:r w:rsidRPr="00D11604">
        <w:rPr>
          <w:rFonts w:ascii="Arial Narrow" w:hAnsi="Arial Narrow"/>
          <w:color w:val="01070C"/>
          <w:spacing w:val="-9"/>
        </w:rPr>
        <w:t>απεικόνισης της ανωτέρω διανομής από τα κέρδη προς</w:t>
      </w:r>
      <w:r w:rsidRPr="00D11604">
        <w:rPr>
          <w:rFonts w:ascii="Arial Narrow" w:hAnsi="Arial Narrow"/>
          <w:color w:val="0A182E"/>
          <w:spacing w:val="-9"/>
        </w:rPr>
        <w:t xml:space="preserve"> μη</w:t>
      </w:r>
      <w:r w:rsidRPr="00D11604">
        <w:rPr>
          <w:rFonts w:ascii="Arial Narrow" w:hAnsi="Arial Narrow"/>
          <w:color w:val="01070C"/>
          <w:spacing w:val="-9"/>
        </w:rPr>
        <w:t xml:space="preserve"> μετόχούς.</w:t>
      </w:r>
    </w:p>
    <w:p w:rsidR="00EE0231" w:rsidRPr="00EE0231" w:rsidRDefault="00EE0231" w:rsidP="00EE0231">
      <w:pPr>
        <w:pStyle w:val="1"/>
        <w:spacing w:after="200" w:line="360" w:lineRule="auto"/>
        <w:jc w:val="both"/>
        <w:rPr>
          <w:rFonts w:ascii="Arial Narrow" w:eastAsia="Times New Roman" w:hAnsi="Arial Narrow" w:cs="Calibri"/>
          <w:lang w:eastAsia="el-GR"/>
        </w:rPr>
      </w:pPr>
    </w:p>
    <w:p w:rsidR="00015E3A" w:rsidRPr="00EE0231" w:rsidRDefault="000A5794" w:rsidP="00EE0231">
      <w:pPr>
        <w:pStyle w:val="ae"/>
        <w:spacing w:after="200"/>
        <w:jc w:val="center"/>
        <w:rPr>
          <w:rFonts w:ascii="Arial Narrow" w:hAnsi="Arial Narrow" w:cs="Calibri"/>
          <w:b/>
        </w:rPr>
      </w:pPr>
      <w:r w:rsidRPr="00EE0231">
        <w:rPr>
          <w:rFonts w:ascii="Arial Narrow" w:hAnsi="Arial Narrow" w:cs="Calibri"/>
          <w:b/>
        </w:rPr>
        <w:lastRenderedPageBreak/>
        <w:t>Απάντηση:</w:t>
      </w:r>
    </w:p>
    <w:p w:rsidR="00143D77" w:rsidRPr="00EE0231" w:rsidRDefault="00143D77" w:rsidP="00EE0231">
      <w:pPr>
        <w:pStyle w:val="1"/>
        <w:spacing w:after="200"/>
        <w:jc w:val="both"/>
        <w:rPr>
          <w:rFonts w:ascii="Arial Narrow" w:hAnsi="Arial Narrow"/>
        </w:rPr>
      </w:pPr>
      <w:r w:rsidRPr="00EE0231">
        <w:rPr>
          <w:rFonts w:ascii="Arial Narrow" w:hAnsi="Arial Narrow"/>
        </w:rPr>
        <w:t>Οι γνωμοδοτήσεις μας που αναφέρονται σε θέματα εφαρμογής των Διεθνών Προτύπων Χρηματοοικονομικής Αναφοράς (Δ.Π.Χ.Α.) / Διεθνών Λογιστικών Προτύπων (Δ.Λ.Π.), δεν συνιστούν ερμηνεία αυτών, αλλά έκφραση γνώμης επί των εφαρμοστέων επιμέρους προτύπων και δεν έχουν δεσμευτικό χαρακτήρα.</w:t>
      </w:r>
    </w:p>
    <w:p w:rsidR="00143D77" w:rsidRPr="00EE0231" w:rsidRDefault="00143D77" w:rsidP="00EE0231">
      <w:pPr>
        <w:pStyle w:val="1"/>
        <w:spacing w:after="200"/>
        <w:jc w:val="both"/>
        <w:rPr>
          <w:rFonts w:ascii="Arial Narrow" w:hAnsi="Arial Narrow"/>
          <w:b/>
          <w:bCs/>
        </w:rPr>
      </w:pPr>
      <w:r w:rsidRPr="00EE0231">
        <w:rPr>
          <w:rFonts w:ascii="Arial Narrow" w:hAnsi="Arial Narrow"/>
        </w:rPr>
        <w:t>Στο πεδίο εφαρμογής του ΔΛΠ 19</w:t>
      </w:r>
      <w:r w:rsidR="00D11604">
        <w:rPr>
          <w:rFonts w:ascii="Arial Narrow" w:hAnsi="Arial Narrow"/>
        </w:rPr>
        <w:t xml:space="preserve"> «</w:t>
      </w:r>
      <w:r w:rsidRPr="00EE0231">
        <w:rPr>
          <w:rFonts w:ascii="Arial Narrow" w:hAnsi="Arial Narrow"/>
          <w:color w:val="373A3C"/>
        </w:rPr>
        <w:t xml:space="preserve"> </w:t>
      </w:r>
      <w:r w:rsidRPr="00EE0231">
        <w:rPr>
          <w:rFonts w:ascii="Arial Narrow" w:hAnsi="Arial Narrow"/>
          <w:bCs/>
        </w:rPr>
        <w:t>Παροχές σε εργαζομένους</w:t>
      </w:r>
      <w:r w:rsidR="00D11604">
        <w:rPr>
          <w:rFonts w:ascii="Arial Narrow" w:hAnsi="Arial Narrow"/>
          <w:bCs/>
        </w:rPr>
        <w:t>»</w:t>
      </w:r>
      <w:r w:rsidRPr="00EE0231">
        <w:rPr>
          <w:rFonts w:ascii="Arial Narrow" w:hAnsi="Arial Narrow"/>
          <w:bCs/>
        </w:rPr>
        <w:t xml:space="preserve"> αναφέρεται ότι:</w:t>
      </w:r>
    </w:p>
    <w:p w:rsidR="00143D77" w:rsidRPr="00EE0231" w:rsidRDefault="00D11604" w:rsidP="00EE0231">
      <w:pPr>
        <w:pStyle w:val="1"/>
        <w:spacing w:after="200"/>
        <w:jc w:val="both"/>
        <w:rPr>
          <w:rFonts w:ascii="Arial Narrow" w:hAnsi="Arial Narrow"/>
        </w:rPr>
      </w:pPr>
      <w:r>
        <w:rPr>
          <w:rFonts w:ascii="Arial Narrow" w:hAnsi="Arial Narrow"/>
        </w:rPr>
        <w:t>«</w:t>
      </w:r>
      <w:r w:rsidR="00143D77" w:rsidRPr="00EE0231">
        <w:rPr>
          <w:rFonts w:ascii="Arial Narrow" w:hAnsi="Arial Narrow"/>
          <w:i/>
        </w:rPr>
        <w:t>Το παρόν Πρότυπο εφαρμόζεται από έναν εργοδότη για τη λογιστική αντιμετώπιση όλων των παροχών σε εργαζόμενους, εκτός εκείνων στις οποίες εφαρμόζεται το ΔΠΧΑ 2 Παροχές που εξαρτώνται από την αξία των μετοχών</w:t>
      </w:r>
      <w:r>
        <w:rPr>
          <w:rFonts w:ascii="Arial Narrow" w:hAnsi="Arial Narrow"/>
        </w:rPr>
        <w:t>»</w:t>
      </w:r>
      <w:r w:rsidR="00143D77" w:rsidRPr="00EE0231">
        <w:rPr>
          <w:rFonts w:ascii="Arial Narrow" w:hAnsi="Arial Narrow"/>
        </w:rPr>
        <w:t>. Για τους σκοπούς του ΔΛΠ 19 στην παράγραφο 7 αναφέρεται ότι στους εργαζόμενους περιλαμβάνονται διευθυντές και λοιπό προσωπικό διοίκησης.</w:t>
      </w:r>
    </w:p>
    <w:p w:rsidR="00143D77" w:rsidRPr="00EE0231" w:rsidRDefault="00143D77" w:rsidP="00EE0231">
      <w:pPr>
        <w:pStyle w:val="1"/>
        <w:spacing w:after="200"/>
        <w:jc w:val="both"/>
        <w:rPr>
          <w:rFonts w:ascii="Arial Narrow" w:hAnsi="Arial Narrow"/>
        </w:rPr>
      </w:pPr>
      <w:r w:rsidRPr="00EE0231">
        <w:rPr>
          <w:rFonts w:ascii="Arial Narrow" w:hAnsi="Arial Narrow"/>
        </w:rPr>
        <w:t>Στην παράγραφο 9 του ΔΛΠ 19 αναφέρεται ότι παροχές όπως οι ακόλουθες, εφόσον αναμένεται να διακανονιστούν πλήρως εντός δώδεκα μηνών από το πέρας της ετήσιας περιόδου αναφοράς</w:t>
      </w:r>
      <w:r w:rsidR="00D11604">
        <w:rPr>
          <w:rFonts w:ascii="Arial Narrow" w:hAnsi="Arial Narrow"/>
        </w:rPr>
        <w:t>,</w:t>
      </w:r>
      <w:r w:rsidRPr="00EE0231">
        <w:rPr>
          <w:rFonts w:ascii="Arial Narrow" w:hAnsi="Arial Narrow"/>
        </w:rPr>
        <w:t xml:space="preserve"> στην οποία οι εργαζόμενοι παρέχουν τις σχετικές υπηρεσίες</w:t>
      </w:r>
      <w:r w:rsidR="00D11604">
        <w:rPr>
          <w:rFonts w:ascii="Arial Narrow" w:hAnsi="Arial Narrow"/>
        </w:rPr>
        <w:t>,</w:t>
      </w:r>
      <w:r w:rsidRPr="00EE0231">
        <w:rPr>
          <w:rFonts w:ascii="Arial Narrow" w:hAnsi="Arial Narrow"/>
        </w:rPr>
        <w:t xml:space="preserve"> θεωρούνται ως βραχυπρόθεσμες παροχές σε εργαζομένους:</w:t>
      </w:r>
    </w:p>
    <w:p w:rsidR="00143D77" w:rsidRPr="00EE0231" w:rsidRDefault="00143D77" w:rsidP="00EE0231">
      <w:pPr>
        <w:pStyle w:val="1"/>
        <w:spacing w:after="200"/>
        <w:jc w:val="both"/>
        <w:rPr>
          <w:rFonts w:ascii="Arial Narrow" w:hAnsi="Arial Narrow"/>
        </w:rPr>
      </w:pPr>
      <w:r w:rsidRPr="00EE0231">
        <w:rPr>
          <w:rFonts w:ascii="Arial Narrow" w:hAnsi="Arial Narrow"/>
        </w:rPr>
        <w:t>α) ημερομίσθια, μισθοί και εισφορές κοινωνικής ασφάλισης·</w:t>
      </w:r>
    </w:p>
    <w:p w:rsidR="00143D77" w:rsidRPr="00EE0231" w:rsidRDefault="00143D77" w:rsidP="00EE0231">
      <w:pPr>
        <w:pStyle w:val="1"/>
        <w:spacing w:after="200"/>
        <w:jc w:val="both"/>
        <w:rPr>
          <w:rFonts w:ascii="Arial Narrow" w:hAnsi="Arial Narrow"/>
        </w:rPr>
      </w:pPr>
      <w:r w:rsidRPr="00EE0231">
        <w:rPr>
          <w:rFonts w:ascii="Arial Narrow" w:hAnsi="Arial Narrow"/>
        </w:rPr>
        <w:t>β) ετήσια άδεια μετ’ αποδοχών και άδεια ασθενείας μετ’ αποδοχών·</w:t>
      </w:r>
    </w:p>
    <w:p w:rsidR="00143D77" w:rsidRPr="00EE0231" w:rsidRDefault="00143D77" w:rsidP="00EE0231">
      <w:pPr>
        <w:pStyle w:val="1"/>
        <w:spacing w:after="200"/>
        <w:jc w:val="both"/>
        <w:rPr>
          <w:rFonts w:ascii="Arial Narrow" w:hAnsi="Arial Narrow"/>
        </w:rPr>
      </w:pPr>
      <w:r w:rsidRPr="00EE0231">
        <w:rPr>
          <w:rFonts w:ascii="Arial Narrow" w:hAnsi="Arial Narrow"/>
        </w:rPr>
        <w:t xml:space="preserve">γ) </w:t>
      </w:r>
      <w:r w:rsidRPr="00EE0231">
        <w:rPr>
          <w:rFonts w:ascii="Arial Narrow" w:hAnsi="Arial Narrow"/>
          <w:b/>
        </w:rPr>
        <w:t>συμμετοχή στα κέρδη</w:t>
      </w:r>
      <w:r w:rsidRPr="00EE0231">
        <w:rPr>
          <w:rFonts w:ascii="Arial Narrow" w:hAnsi="Arial Narrow"/>
        </w:rPr>
        <w:t xml:space="preserve"> και πρόσθετες παροχές· και</w:t>
      </w:r>
    </w:p>
    <w:p w:rsidR="00143D77" w:rsidRPr="00EE0231" w:rsidRDefault="00143D77" w:rsidP="00EE0231">
      <w:pPr>
        <w:pStyle w:val="1"/>
        <w:spacing w:after="200"/>
        <w:jc w:val="both"/>
        <w:rPr>
          <w:rFonts w:ascii="Arial Narrow" w:hAnsi="Arial Narrow"/>
        </w:rPr>
      </w:pPr>
      <w:r w:rsidRPr="00EE0231">
        <w:rPr>
          <w:rFonts w:ascii="Arial Narrow" w:hAnsi="Arial Narrow"/>
        </w:rPr>
        <w:t>δ) μη χρηματικές παροχές (όπως ιατροφαρμακευτική περίθαλψη, στέγαση, αυτοκίνητα και δωρεάν ή επιδοτούμενα αγαθά ή υπηρεσίες) για τους νυν εργαζόμενους.</w:t>
      </w:r>
    </w:p>
    <w:p w:rsidR="00143D77" w:rsidRPr="00EE0231" w:rsidRDefault="00143D77" w:rsidP="00EE0231">
      <w:pPr>
        <w:pStyle w:val="1"/>
        <w:spacing w:after="200"/>
        <w:jc w:val="both"/>
        <w:rPr>
          <w:rFonts w:ascii="Arial Narrow" w:hAnsi="Arial Narrow"/>
        </w:rPr>
      </w:pPr>
      <w:r w:rsidRPr="00EE0231">
        <w:rPr>
          <w:rFonts w:ascii="Arial Narrow" w:hAnsi="Arial Narrow"/>
        </w:rPr>
        <w:t xml:space="preserve">Στην παράγραφο 11 για την καταχώριση βραχυπρόθεσμων παροχών αναφέρεται ότι: </w:t>
      </w:r>
    </w:p>
    <w:p w:rsidR="00143D77" w:rsidRPr="00EE0231" w:rsidRDefault="00D11604" w:rsidP="00EE0231">
      <w:pPr>
        <w:pStyle w:val="1"/>
        <w:spacing w:after="200"/>
        <w:jc w:val="both"/>
        <w:rPr>
          <w:rFonts w:ascii="Arial Narrow" w:hAnsi="Arial Narrow"/>
          <w:i/>
        </w:rPr>
      </w:pPr>
      <w:r>
        <w:rPr>
          <w:rFonts w:ascii="Arial Narrow" w:hAnsi="Arial Narrow"/>
        </w:rPr>
        <w:t>«</w:t>
      </w:r>
      <w:r w:rsidR="00143D77" w:rsidRPr="00EE0231">
        <w:rPr>
          <w:rFonts w:ascii="Arial Narrow" w:hAnsi="Arial Narrow"/>
          <w:i/>
        </w:rPr>
        <w:t>Όταν ένας εργαζόμενος έχει παράσχει υπηρεσία σε οικονομική οντότητα κατά τη διάρκεια μιας λογιστικής περιόδου, η οικονομική οντότητα πρέπει να αναγνωρίσει το απροεξόφλητο ποσό των βραχυπρόθεσμων παροχών σε εργαζόμενους που αναμένεται να πληρωθεί σε αντάλλαγμα για αυτήν την υπηρεσία:</w:t>
      </w:r>
    </w:p>
    <w:p w:rsidR="00143D77" w:rsidRPr="00EE0231" w:rsidRDefault="00143D77" w:rsidP="00EE0231">
      <w:pPr>
        <w:pStyle w:val="1"/>
        <w:spacing w:after="200"/>
        <w:jc w:val="both"/>
        <w:rPr>
          <w:rFonts w:ascii="Arial Narrow" w:hAnsi="Arial Narrow"/>
          <w:i/>
        </w:rPr>
      </w:pPr>
      <w:r w:rsidRPr="00EE0231">
        <w:rPr>
          <w:rFonts w:ascii="Arial Narrow" w:hAnsi="Arial Narrow"/>
          <w:i/>
        </w:rPr>
        <w:t>α) ως υποχρέωση (δουλευμένο έξοδο), μετά την αφαίρεση κάθε ποσού που ήδη πληρώθηκε. Εάν το ποσό που ήδη πληρώθηκε υπερβαίνει το απροεξόφλητο ποσό των παροχών, η οικονομική οντότητα αναγνωρίζει το ποσό της υπέρβασης ως περιουσιακό στοιχείο (προπληρωθέν έξοδο) στο βαθμό που η προπληρωμή θα οδηγήσει, για παράδειγμα, σε μείωση των μελλοντικών πληρωμών ή σε ταμειακή επιστροφή.</w:t>
      </w:r>
    </w:p>
    <w:p w:rsidR="00143D77" w:rsidRPr="00EE0231" w:rsidRDefault="00143D77" w:rsidP="00EE0231">
      <w:pPr>
        <w:pStyle w:val="1"/>
        <w:spacing w:after="200"/>
        <w:jc w:val="both"/>
        <w:rPr>
          <w:rFonts w:ascii="Arial Narrow" w:hAnsi="Arial Narrow"/>
        </w:rPr>
      </w:pPr>
      <w:r w:rsidRPr="00EE0231">
        <w:rPr>
          <w:rFonts w:ascii="Arial Narrow" w:hAnsi="Arial Narrow"/>
          <w:i/>
        </w:rPr>
        <w:t xml:space="preserve">β) </w:t>
      </w:r>
      <w:r w:rsidRPr="00EE0231">
        <w:rPr>
          <w:rFonts w:ascii="Arial Narrow" w:hAnsi="Arial Narrow"/>
          <w:b/>
          <w:i/>
        </w:rPr>
        <w:t>ως έξοδο</w:t>
      </w:r>
      <w:r w:rsidRPr="00EE0231">
        <w:rPr>
          <w:rFonts w:ascii="Arial Narrow" w:hAnsi="Arial Narrow"/>
          <w:i/>
        </w:rPr>
        <w:t>, εκτός αν ένα άλλο Πρότυπο απαιτεί ή επιτρέπει τη συμπερίληψη των παροχών στο κόστος περιουσιακού στοιχείου (βλ., για παράδειγμα, ΔΛΠ 2 Αποθέματα και ΔΛΠ 16 Ενσώματα πάγια</w:t>
      </w:r>
      <w:r w:rsidRPr="00EE0231">
        <w:rPr>
          <w:rFonts w:ascii="Arial Narrow" w:hAnsi="Arial Narrow"/>
        </w:rPr>
        <w:t>)</w:t>
      </w:r>
      <w:r w:rsidR="00D11604">
        <w:rPr>
          <w:rFonts w:ascii="Arial Narrow" w:hAnsi="Arial Narrow"/>
        </w:rPr>
        <w:t>»</w:t>
      </w:r>
      <w:r w:rsidRPr="00EE0231">
        <w:rPr>
          <w:rFonts w:ascii="Arial Narrow" w:hAnsi="Arial Narrow"/>
        </w:rPr>
        <w:t>.</w:t>
      </w:r>
    </w:p>
    <w:p w:rsidR="00143D77" w:rsidRPr="00EE0231" w:rsidRDefault="00143D77" w:rsidP="00EE0231">
      <w:pPr>
        <w:pStyle w:val="1"/>
        <w:spacing w:after="200"/>
        <w:jc w:val="both"/>
        <w:rPr>
          <w:rFonts w:ascii="Arial Narrow" w:hAnsi="Arial Narrow"/>
        </w:rPr>
      </w:pPr>
      <w:r w:rsidRPr="00EE0231">
        <w:rPr>
          <w:rFonts w:ascii="Arial Narrow" w:hAnsi="Arial Narrow"/>
        </w:rPr>
        <w:t>Εφόσον  προγράμματα μερισμού κερδών και πρόσθετων παροχών δεν αναμένεται να διακανονιστούν πλήρως μέσα σε δώδεκα μήνες μετά τη λήξη της ετήσιας περιόδου αναφοράς εντός της οποίας οι εργαζόμενοι παρέχουν τη σχετική υπηρεσία τότε σύμφωνα με την παράγραφο  153 του ΔΛΠ 19 αναγνωρίζονται ως άλλες μακροπρόθεσμες παροχές σε εργαζομένους.</w:t>
      </w:r>
    </w:p>
    <w:p w:rsidR="00143D77" w:rsidRPr="00EE0231" w:rsidRDefault="00143D77" w:rsidP="00EE0231">
      <w:pPr>
        <w:pStyle w:val="1"/>
        <w:spacing w:after="200"/>
        <w:jc w:val="both"/>
        <w:rPr>
          <w:rFonts w:ascii="Arial Narrow" w:hAnsi="Arial Narrow"/>
        </w:rPr>
      </w:pPr>
      <w:r w:rsidRPr="00EE0231">
        <w:rPr>
          <w:rFonts w:ascii="Arial Narrow" w:hAnsi="Arial Narrow"/>
          <w:shd w:val="clear" w:color="auto" w:fill="FFFFFF"/>
        </w:rPr>
        <w:t xml:space="preserve">Για τον λογιστικό χειρισμό της διανομής των κερδών στο προσωπικό παρέχεται καθοδήγηση από την παράγραφο 23 του προαναφερθέντος προτύπου: </w:t>
      </w:r>
      <w:r w:rsidR="00D11604">
        <w:rPr>
          <w:rFonts w:ascii="Arial Narrow" w:hAnsi="Arial Narrow"/>
          <w:shd w:val="clear" w:color="auto" w:fill="FFFFFF"/>
        </w:rPr>
        <w:t>«</w:t>
      </w:r>
      <w:r w:rsidRPr="00EE0231">
        <w:rPr>
          <w:rFonts w:ascii="Arial Narrow" w:hAnsi="Arial Narrow"/>
          <w:i/>
          <w:shd w:val="clear" w:color="auto" w:fill="FFFFFF"/>
        </w:rPr>
        <w:t>Η δέσμευση σύμφωνα με τα προγράμματα συμμετοχής στα κέρδη και προσθέτων παροχών προέρχεται από την υπηρεσία εργαζόμενων και όχι από κάποια συναλλαγή με τους ιδιοκτήτες της οικονομικής οντότητας. Συνεπώς, η οικονομική οντότητα αναγνωρίζει το κόστος προγραμμάτων συμμετοχής στα κέρδη και προσθέτων παροχών όχι ως διανομή κερδών, αλλά ως έξοδο</w:t>
      </w:r>
      <w:r w:rsidR="00D11604">
        <w:rPr>
          <w:rFonts w:ascii="Arial Narrow" w:hAnsi="Arial Narrow"/>
          <w:i/>
          <w:shd w:val="clear" w:color="auto" w:fill="FFFFFF"/>
        </w:rPr>
        <w:t>»</w:t>
      </w:r>
      <w:r w:rsidRPr="00EE0231">
        <w:rPr>
          <w:rFonts w:ascii="Arial Narrow" w:hAnsi="Arial Narrow"/>
          <w:shd w:val="clear" w:color="auto" w:fill="FFFFFF"/>
        </w:rPr>
        <w:t xml:space="preserve">. </w:t>
      </w:r>
    </w:p>
    <w:p w:rsidR="00143D77" w:rsidRPr="00EE0231" w:rsidRDefault="00143D77" w:rsidP="00EE0231">
      <w:pPr>
        <w:pStyle w:val="1"/>
        <w:spacing w:after="200"/>
        <w:jc w:val="both"/>
        <w:rPr>
          <w:rFonts w:ascii="Arial Narrow" w:hAnsi="Arial Narrow"/>
          <w:i/>
        </w:rPr>
      </w:pPr>
      <w:r w:rsidRPr="00EE0231">
        <w:rPr>
          <w:rFonts w:ascii="Arial Narrow" w:hAnsi="Arial Narrow"/>
        </w:rPr>
        <w:t>Τέλος, για το</w:t>
      </w:r>
      <w:r w:rsidR="00D11604">
        <w:rPr>
          <w:rFonts w:ascii="Arial Narrow" w:hAnsi="Arial Narrow"/>
        </w:rPr>
        <w:t>ν</w:t>
      </w:r>
      <w:r w:rsidRPr="00EE0231">
        <w:rPr>
          <w:rFonts w:ascii="Arial Narrow" w:hAnsi="Arial Narrow"/>
        </w:rPr>
        <w:t xml:space="preserve"> χρόνο καταχώρισης του εξόδου παρέχεται καθοδήγηση από την παράγραφο 19 του προτύπου, στην οποία αναφέρεται ότι: </w:t>
      </w:r>
      <w:r w:rsidR="00D11604">
        <w:rPr>
          <w:rFonts w:ascii="Arial Narrow" w:hAnsi="Arial Narrow"/>
        </w:rPr>
        <w:t>«</w:t>
      </w:r>
      <w:r w:rsidRPr="00EE0231">
        <w:rPr>
          <w:rFonts w:ascii="Arial Narrow" w:hAnsi="Arial Narrow"/>
          <w:i/>
        </w:rPr>
        <w:t>Η οικονομική οντότητα αναγνωρίζει το αναμενόμενο κόστος συμμετοχής στα κέρδη και προσθέτων παροχών σύμφωνα με την παράγραφο 11, όταν και μόνον όταν:</w:t>
      </w:r>
    </w:p>
    <w:p w:rsidR="00143D77" w:rsidRPr="00EE0231" w:rsidRDefault="00143D77" w:rsidP="00EE0231">
      <w:pPr>
        <w:pStyle w:val="1"/>
        <w:spacing w:after="200"/>
        <w:jc w:val="both"/>
        <w:rPr>
          <w:rFonts w:ascii="Arial Narrow" w:hAnsi="Arial Narrow"/>
          <w:i/>
        </w:rPr>
      </w:pPr>
      <w:r w:rsidRPr="00EE0231">
        <w:rPr>
          <w:rFonts w:ascii="Arial Narrow" w:hAnsi="Arial Narrow"/>
          <w:i/>
        </w:rPr>
        <w:t>α) η οικονομική οντότητα έχει παρούσα νομική ή τεκμαιρόμενη δέσμευση να πραγματοποιήσει τέτοιες πληρωμές, ως αποτέλεσμα παρελθόντων γεγονότων· και</w:t>
      </w:r>
    </w:p>
    <w:p w:rsidR="00143D77" w:rsidRDefault="00143D77" w:rsidP="00EE0231">
      <w:pPr>
        <w:pStyle w:val="1"/>
        <w:spacing w:after="200"/>
        <w:jc w:val="both"/>
        <w:rPr>
          <w:rFonts w:ascii="Arial Narrow" w:hAnsi="Arial Narrow"/>
          <w:i/>
        </w:rPr>
      </w:pPr>
      <w:r w:rsidRPr="00EE0231">
        <w:rPr>
          <w:rFonts w:ascii="Arial Narrow" w:hAnsi="Arial Narrow"/>
          <w:i/>
        </w:rPr>
        <w:t>β) είναι εφικτή μια αξιόπιστη εκτίμηση της δέσμευσης.</w:t>
      </w:r>
    </w:p>
    <w:p w:rsidR="00D11604" w:rsidRDefault="00D11604" w:rsidP="00EE0231">
      <w:pPr>
        <w:pStyle w:val="1"/>
        <w:spacing w:after="200"/>
        <w:jc w:val="both"/>
        <w:rPr>
          <w:rFonts w:ascii="Arial Narrow" w:hAnsi="Arial Narrow"/>
          <w:i/>
        </w:rPr>
      </w:pPr>
    </w:p>
    <w:p w:rsidR="00D11604" w:rsidRPr="00EE0231" w:rsidRDefault="00D11604" w:rsidP="00EE0231">
      <w:pPr>
        <w:pStyle w:val="1"/>
        <w:spacing w:after="200"/>
        <w:jc w:val="both"/>
        <w:rPr>
          <w:rFonts w:ascii="Arial Narrow" w:hAnsi="Arial Narrow"/>
          <w:i/>
        </w:rPr>
      </w:pPr>
    </w:p>
    <w:p w:rsidR="00143D77" w:rsidRPr="00EE0231" w:rsidRDefault="00143D77" w:rsidP="00EE0231">
      <w:pPr>
        <w:pStyle w:val="1"/>
        <w:spacing w:after="200"/>
        <w:jc w:val="both"/>
        <w:rPr>
          <w:rFonts w:ascii="Arial Narrow" w:hAnsi="Arial Narrow"/>
        </w:rPr>
      </w:pPr>
      <w:r w:rsidRPr="00EE0231">
        <w:rPr>
          <w:rFonts w:ascii="Arial Narrow" w:hAnsi="Arial Narrow"/>
          <w:i/>
        </w:rPr>
        <w:t>Μια παρούσα δέσμευση υπάρχει όταν, και μόνο όταν, η οικονομική οντότητα δεν έχει καμία ρεαλιστική εναλλακτική λύση παρά να πραγματοποιήσει τις πληρωμές</w:t>
      </w:r>
      <w:r w:rsidR="00D11604">
        <w:rPr>
          <w:rFonts w:ascii="Arial Narrow" w:hAnsi="Arial Narrow"/>
          <w:i/>
        </w:rPr>
        <w:t>»</w:t>
      </w:r>
      <w:r w:rsidRPr="00EE0231">
        <w:rPr>
          <w:rFonts w:ascii="Arial Narrow" w:hAnsi="Arial Narrow"/>
        </w:rPr>
        <w:t>.</w:t>
      </w:r>
    </w:p>
    <w:p w:rsidR="00143D77" w:rsidRPr="00EE0231" w:rsidRDefault="00143D77" w:rsidP="00EE0231">
      <w:pPr>
        <w:pStyle w:val="1"/>
        <w:spacing w:after="200"/>
        <w:jc w:val="both"/>
        <w:rPr>
          <w:rFonts w:ascii="Arial Narrow" w:hAnsi="Arial Narrow"/>
        </w:rPr>
      </w:pPr>
      <w:r w:rsidRPr="00EE0231">
        <w:rPr>
          <w:rFonts w:ascii="Arial Narrow" w:hAnsi="Arial Narrow"/>
        </w:rPr>
        <w:t>Από τα δεδομένα του ερωτήματος προκύπτει ότι πριν την απόφαση της Γενικής Συνέλευσης των μετόχων δεν υφίσταται για την ερωτώσα εταιρεία τεκμαιρόμενη ή παρούσα νομική δέσμευση να καταβάλει μέρος των κερδών στο προσωπικό.</w:t>
      </w:r>
    </w:p>
    <w:p w:rsidR="00143D77" w:rsidRPr="00EE0231" w:rsidRDefault="00143D77" w:rsidP="00EE0231">
      <w:pPr>
        <w:pStyle w:val="1"/>
        <w:spacing w:after="200"/>
        <w:jc w:val="both"/>
        <w:rPr>
          <w:rFonts w:ascii="Arial Narrow" w:hAnsi="Arial Narrow"/>
        </w:rPr>
      </w:pPr>
      <w:bookmarkStart w:id="0" w:name="_GoBack"/>
      <w:bookmarkEnd w:id="0"/>
      <w:r w:rsidRPr="00EE0231">
        <w:rPr>
          <w:rFonts w:ascii="Arial Narrow" w:hAnsi="Arial Narrow"/>
        </w:rPr>
        <w:t xml:space="preserve">Συνεπώς, τα </w:t>
      </w:r>
      <w:r w:rsidR="00D11604">
        <w:rPr>
          <w:rFonts w:ascii="Arial Narrow" w:hAnsi="Arial Narrow"/>
        </w:rPr>
        <w:t>«</w:t>
      </w:r>
      <w:r w:rsidRPr="00EE0231">
        <w:rPr>
          <w:rFonts w:ascii="Arial Narrow" w:hAnsi="Arial Narrow"/>
        </w:rPr>
        <w:t>διανεμόμενα κέρδη</w:t>
      </w:r>
      <w:r w:rsidR="00D11604">
        <w:rPr>
          <w:rFonts w:ascii="Arial Narrow" w:hAnsi="Arial Narrow"/>
        </w:rPr>
        <w:t>»</w:t>
      </w:r>
      <w:r w:rsidRPr="00EE0231">
        <w:rPr>
          <w:rFonts w:ascii="Arial Narrow" w:hAnsi="Arial Narrow"/>
        </w:rPr>
        <w:t xml:space="preserve"> θα καταχωριστούν ως έξοδα αμοιβών στο προσωπικό μετά την λήψη της σχετικής εγκριτικής απόφασης από την Γενική Συνέλευση.</w:t>
      </w:r>
    </w:p>
    <w:p w:rsidR="009E31B1" w:rsidRDefault="009E31B1" w:rsidP="00EE0231">
      <w:pPr>
        <w:pStyle w:val="ae"/>
        <w:spacing w:after="200"/>
        <w:jc w:val="both"/>
        <w:rPr>
          <w:rFonts w:ascii="Arial Narrow" w:hAnsi="Arial Narrow" w:cs="Calibri"/>
        </w:rPr>
      </w:pPr>
    </w:p>
    <w:p w:rsidR="00D11604" w:rsidRDefault="00D11604" w:rsidP="00EE0231">
      <w:pPr>
        <w:pStyle w:val="ae"/>
        <w:spacing w:after="200"/>
        <w:jc w:val="both"/>
        <w:rPr>
          <w:rFonts w:ascii="Arial Narrow" w:hAnsi="Arial Narrow" w:cs="Calibri"/>
        </w:rPr>
      </w:pPr>
    </w:p>
    <w:p w:rsidR="00D11604" w:rsidRPr="00EE0231" w:rsidRDefault="00D11604" w:rsidP="00EE0231">
      <w:pPr>
        <w:pStyle w:val="ae"/>
        <w:spacing w:after="200"/>
        <w:jc w:val="both"/>
        <w:rPr>
          <w:rFonts w:ascii="Arial Narrow" w:hAnsi="Arial Narrow" w:cs="Calibri"/>
        </w:rPr>
      </w:pPr>
    </w:p>
    <w:p w:rsidR="00D8672B" w:rsidRPr="00EE0231" w:rsidRDefault="00D8672B" w:rsidP="00EE0231">
      <w:pPr>
        <w:pStyle w:val="ae"/>
        <w:spacing w:after="200"/>
        <w:jc w:val="center"/>
        <w:rPr>
          <w:rFonts w:ascii="Arial Narrow" w:hAnsi="Arial Narrow" w:cs="Calibri"/>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15"/>
        <w:gridCol w:w="4715"/>
      </w:tblGrid>
      <w:tr w:rsidR="005C3092" w:rsidRPr="00EE0231" w:rsidTr="00BF52DD">
        <w:trPr>
          <w:trHeight w:val="952"/>
        </w:trPr>
        <w:tc>
          <w:tcPr>
            <w:tcW w:w="4715" w:type="dxa"/>
          </w:tcPr>
          <w:p w:rsidR="005C3092" w:rsidRPr="00EE0231" w:rsidRDefault="005C3092" w:rsidP="00BF52DD">
            <w:pPr>
              <w:tabs>
                <w:tab w:val="left" w:pos="284"/>
              </w:tabs>
              <w:spacing w:line="360" w:lineRule="auto"/>
              <w:ind w:right="-144"/>
              <w:rPr>
                <w:rFonts w:ascii="Arial Narrow" w:hAnsi="Arial Narrow"/>
                <w:sz w:val="22"/>
                <w:szCs w:val="22"/>
              </w:rPr>
            </w:pPr>
            <w:r w:rsidRPr="00EE0231">
              <w:rPr>
                <w:rFonts w:ascii="Arial Narrow" w:hAnsi="Arial Narrow"/>
                <w:sz w:val="22"/>
                <w:szCs w:val="22"/>
              </w:rPr>
              <w:t>ΤΑ ΜΕΛΗ</w:t>
            </w:r>
          </w:p>
          <w:p w:rsidR="005C3092" w:rsidRPr="00EE0231" w:rsidRDefault="005C3092" w:rsidP="00BF52DD">
            <w:pPr>
              <w:tabs>
                <w:tab w:val="left" w:pos="284"/>
              </w:tabs>
              <w:spacing w:line="360" w:lineRule="auto"/>
              <w:ind w:right="-108"/>
              <w:rPr>
                <w:rFonts w:ascii="Arial Narrow" w:hAnsi="Arial Narrow"/>
                <w:sz w:val="22"/>
                <w:szCs w:val="22"/>
              </w:rPr>
            </w:pPr>
          </w:p>
        </w:tc>
        <w:tc>
          <w:tcPr>
            <w:tcW w:w="4715" w:type="dxa"/>
            <w:hideMark/>
          </w:tcPr>
          <w:p w:rsidR="005C3092" w:rsidRPr="00EE0231" w:rsidRDefault="005C3092" w:rsidP="00BF52DD">
            <w:pPr>
              <w:tabs>
                <w:tab w:val="left" w:pos="284"/>
              </w:tabs>
              <w:spacing w:line="360" w:lineRule="auto"/>
              <w:ind w:right="-108"/>
              <w:rPr>
                <w:rFonts w:ascii="Arial Narrow" w:hAnsi="Arial Narrow"/>
                <w:sz w:val="22"/>
                <w:szCs w:val="22"/>
              </w:rPr>
            </w:pPr>
            <w:r w:rsidRPr="00EE0231">
              <w:rPr>
                <w:rFonts w:ascii="Arial Narrow" w:hAnsi="Arial Narrow"/>
                <w:sz w:val="22"/>
                <w:szCs w:val="22"/>
              </w:rPr>
              <w:t>Ο ΠΡΟΕΔΡΟΣ ΤΟΥ ΣΛΟΤ</w:t>
            </w:r>
          </w:p>
        </w:tc>
      </w:tr>
      <w:tr w:rsidR="00F46410" w:rsidRPr="00EE0231" w:rsidTr="00F46410">
        <w:tc>
          <w:tcPr>
            <w:tcW w:w="4715" w:type="dxa"/>
            <w:hideMark/>
          </w:tcPr>
          <w:p w:rsidR="00F46410" w:rsidRPr="00EE0231" w:rsidRDefault="00F46410" w:rsidP="003703E5">
            <w:pPr>
              <w:spacing w:line="360" w:lineRule="auto"/>
              <w:rPr>
                <w:rFonts w:ascii="Arial Narrow" w:hAnsi="Arial Narrow"/>
                <w:sz w:val="22"/>
                <w:szCs w:val="22"/>
              </w:rPr>
            </w:pPr>
            <w:r w:rsidRPr="00EE0231">
              <w:rPr>
                <w:rFonts w:ascii="Arial Narrow" w:hAnsi="Arial Narrow"/>
                <w:sz w:val="22"/>
                <w:szCs w:val="22"/>
              </w:rPr>
              <w:t>Ελένη Ρογδάκη – Χαραμή</w:t>
            </w:r>
          </w:p>
        </w:tc>
        <w:tc>
          <w:tcPr>
            <w:tcW w:w="4715" w:type="dxa"/>
            <w:hideMark/>
          </w:tcPr>
          <w:p w:rsidR="00F46410" w:rsidRPr="00EE0231" w:rsidRDefault="00F46410" w:rsidP="003703E5">
            <w:pPr>
              <w:tabs>
                <w:tab w:val="left" w:pos="284"/>
              </w:tabs>
              <w:spacing w:line="360" w:lineRule="auto"/>
              <w:ind w:right="-144"/>
              <w:rPr>
                <w:rFonts w:ascii="Arial Narrow" w:hAnsi="Arial Narrow"/>
                <w:sz w:val="22"/>
                <w:szCs w:val="22"/>
              </w:rPr>
            </w:pPr>
            <w:r w:rsidRPr="00EE0231">
              <w:rPr>
                <w:rFonts w:ascii="Arial Narrow" w:hAnsi="Arial Narrow"/>
                <w:sz w:val="22"/>
                <w:szCs w:val="22"/>
              </w:rPr>
              <w:t>Χαράλαμπος Ξένος</w:t>
            </w:r>
          </w:p>
          <w:p w:rsidR="00AD5D3D" w:rsidRPr="00EE0231" w:rsidRDefault="00AD5D3D" w:rsidP="003703E5">
            <w:pPr>
              <w:tabs>
                <w:tab w:val="left" w:pos="284"/>
              </w:tabs>
              <w:spacing w:line="360" w:lineRule="auto"/>
              <w:ind w:right="-144"/>
              <w:rPr>
                <w:rFonts w:ascii="Arial Narrow" w:hAnsi="Arial Narrow"/>
                <w:sz w:val="22"/>
                <w:szCs w:val="22"/>
              </w:rPr>
            </w:pPr>
          </w:p>
        </w:tc>
      </w:tr>
      <w:tr w:rsidR="00F46410" w:rsidRPr="00EE0231" w:rsidTr="00F46410">
        <w:tc>
          <w:tcPr>
            <w:tcW w:w="4715" w:type="dxa"/>
            <w:hideMark/>
          </w:tcPr>
          <w:p w:rsidR="00F46410" w:rsidRPr="00EE0231" w:rsidRDefault="008025E1" w:rsidP="008025E1">
            <w:pPr>
              <w:rPr>
                <w:rFonts w:ascii="Arial Narrow" w:hAnsi="Arial Narrow"/>
                <w:sz w:val="22"/>
                <w:szCs w:val="22"/>
              </w:rPr>
            </w:pPr>
            <w:r w:rsidRPr="00EE0231">
              <w:rPr>
                <w:rFonts w:ascii="Arial Narrow" w:hAnsi="Arial Narrow"/>
                <w:sz w:val="22"/>
                <w:szCs w:val="22"/>
              </w:rPr>
              <w:t xml:space="preserve">Διονύσιος Παπαγεωργακόπουλος </w:t>
            </w:r>
          </w:p>
          <w:p w:rsidR="00AD5D3D" w:rsidRPr="00EE0231" w:rsidRDefault="00AD5D3D" w:rsidP="008025E1">
            <w:pPr>
              <w:rPr>
                <w:rFonts w:ascii="Arial Narrow" w:hAnsi="Arial Narrow"/>
                <w:sz w:val="22"/>
                <w:szCs w:val="22"/>
              </w:rPr>
            </w:pPr>
          </w:p>
        </w:tc>
        <w:tc>
          <w:tcPr>
            <w:tcW w:w="4715" w:type="dxa"/>
          </w:tcPr>
          <w:p w:rsidR="00F46410" w:rsidRPr="00EE0231" w:rsidRDefault="00F46410">
            <w:pPr>
              <w:tabs>
                <w:tab w:val="left" w:pos="284"/>
              </w:tabs>
              <w:spacing w:line="240" w:lineRule="auto"/>
              <w:ind w:right="-108"/>
              <w:rPr>
                <w:rFonts w:ascii="Arial Narrow" w:hAnsi="Arial Narrow"/>
                <w:sz w:val="22"/>
                <w:szCs w:val="22"/>
              </w:rPr>
            </w:pPr>
          </w:p>
          <w:p w:rsidR="00AD5D3D" w:rsidRPr="00EE0231" w:rsidRDefault="00AD5D3D">
            <w:pPr>
              <w:tabs>
                <w:tab w:val="left" w:pos="284"/>
              </w:tabs>
              <w:spacing w:line="240" w:lineRule="auto"/>
              <w:ind w:right="-108"/>
              <w:rPr>
                <w:rFonts w:ascii="Arial Narrow" w:hAnsi="Arial Narrow"/>
                <w:sz w:val="22"/>
                <w:szCs w:val="22"/>
              </w:rPr>
            </w:pPr>
          </w:p>
        </w:tc>
      </w:tr>
      <w:tr w:rsidR="00F46410" w:rsidRPr="00EE0231" w:rsidTr="00F46410">
        <w:tc>
          <w:tcPr>
            <w:tcW w:w="4715" w:type="dxa"/>
            <w:hideMark/>
          </w:tcPr>
          <w:p w:rsidR="00F46410" w:rsidRPr="00EE0231" w:rsidRDefault="00F46410">
            <w:pPr>
              <w:rPr>
                <w:rFonts w:ascii="Arial Narrow" w:hAnsi="Arial Narrow"/>
                <w:sz w:val="22"/>
                <w:szCs w:val="22"/>
              </w:rPr>
            </w:pPr>
            <w:r w:rsidRPr="00EE0231">
              <w:rPr>
                <w:rFonts w:ascii="Arial Narrow" w:hAnsi="Arial Narrow"/>
                <w:sz w:val="22"/>
                <w:szCs w:val="22"/>
              </w:rPr>
              <w:t xml:space="preserve">Χαράλαμπος Συρούνης </w:t>
            </w:r>
          </w:p>
        </w:tc>
        <w:tc>
          <w:tcPr>
            <w:tcW w:w="4715" w:type="dxa"/>
          </w:tcPr>
          <w:p w:rsidR="00F46410" w:rsidRPr="00EE0231" w:rsidRDefault="00F46410">
            <w:pPr>
              <w:tabs>
                <w:tab w:val="left" w:pos="284"/>
              </w:tabs>
              <w:spacing w:line="240" w:lineRule="auto"/>
              <w:ind w:right="-108"/>
              <w:rPr>
                <w:rFonts w:ascii="Arial Narrow" w:hAnsi="Arial Narrow"/>
                <w:sz w:val="22"/>
                <w:szCs w:val="22"/>
              </w:rPr>
            </w:pPr>
          </w:p>
          <w:p w:rsidR="00AD5D3D" w:rsidRPr="00EE0231" w:rsidRDefault="00AD5D3D">
            <w:pPr>
              <w:tabs>
                <w:tab w:val="left" w:pos="284"/>
              </w:tabs>
              <w:spacing w:line="240" w:lineRule="auto"/>
              <w:ind w:right="-108"/>
              <w:rPr>
                <w:rFonts w:ascii="Arial Narrow" w:hAnsi="Arial Narrow"/>
                <w:sz w:val="22"/>
                <w:szCs w:val="22"/>
              </w:rPr>
            </w:pPr>
          </w:p>
          <w:p w:rsidR="00AD5D3D" w:rsidRPr="00EE0231" w:rsidRDefault="00AD5D3D">
            <w:pPr>
              <w:tabs>
                <w:tab w:val="left" w:pos="284"/>
              </w:tabs>
              <w:spacing w:line="240" w:lineRule="auto"/>
              <w:ind w:right="-108"/>
              <w:rPr>
                <w:rFonts w:ascii="Arial Narrow" w:hAnsi="Arial Narrow"/>
                <w:sz w:val="22"/>
                <w:szCs w:val="22"/>
              </w:rPr>
            </w:pPr>
          </w:p>
        </w:tc>
      </w:tr>
      <w:tr w:rsidR="00F46410" w:rsidRPr="00EE0231" w:rsidTr="00F46410">
        <w:tc>
          <w:tcPr>
            <w:tcW w:w="4715" w:type="dxa"/>
          </w:tcPr>
          <w:p w:rsidR="00F46410" w:rsidRPr="00EE0231" w:rsidRDefault="00F46410" w:rsidP="006211E5">
            <w:pPr>
              <w:tabs>
                <w:tab w:val="left" w:pos="3200"/>
              </w:tabs>
              <w:spacing w:line="240" w:lineRule="auto"/>
              <w:jc w:val="both"/>
              <w:rPr>
                <w:rFonts w:ascii="Arial Narrow" w:hAnsi="Arial Narrow"/>
                <w:sz w:val="22"/>
                <w:szCs w:val="22"/>
              </w:rPr>
            </w:pPr>
            <w:r w:rsidRPr="00EE0231">
              <w:rPr>
                <w:rFonts w:ascii="Arial Narrow" w:hAnsi="Arial Narrow"/>
                <w:sz w:val="22"/>
                <w:szCs w:val="22"/>
              </w:rPr>
              <w:t>Νικόλαος Σγουρινάκης</w:t>
            </w:r>
            <w:r w:rsidR="00525F85" w:rsidRPr="00EE0231">
              <w:rPr>
                <w:rFonts w:ascii="Arial Narrow" w:hAnsi="Arial Narrow"/>
                <w:sz w:val="22"/>
                <w:szCs w:val="22"/>
              </w:rPr>
              <w:t xml:space="preserve"> </w:t>
            </w:r>
          </w:p>
        </w:tc>
        <w:tc>
          <w:tcPr>
            <w:tcW w:w="4715" w:type="dxa"/>
          </w:tcPr>
          <w:p w:rsidR="00F46410" w:rsidRPr="00EE0231" w:rsidRDefault="00F46410">
            <w:pPr>
              <w:tabs>
                <w:tab w:val="left" w:pos="284"/>
              </w:tabs>
              <w:spacing w:line="240" w:lineRule="auto"/>
              <w:ind w:right="-108"/>
              <w:rPr>
                <w:rFonts w:ascii="Arial Narrow" w:hAnsi="Arial Narrow"/>
                <w:sz w:val="22"/>
                <w:szCs w:val="22"/>
              </w:rPr>
            </w:pPr>
          </w:p>
        </w:tc>
      </w:tr>
    </w:tbl>
    <w:p w:rsidR="00DA33B6" w:rsidRPr="00243683" w:rsidRDefault="00DA33B6">
      <w:pPr>
        <w:tabs>
          <w:tab w:val="left" w:pos="284"/>
        </w:tabs>
        <w:spacing w:line="240" w:lineRule="auto"/>
        <w:ind w:right="-108"/>
        <w:rPr>
          <w:rFonts w:ascii="Arial Narrow" w:hAnsi="Arial Narrow" w:cs="Arial"/>
        </w:rPr>
      </w:pPr>
    </w:p>
    <w:sectPr w:rsidR="00DA33B6" w:rsidRPr="00243683" w:rsidSect="00143D77">
      <w:footerReference w:type="default" r:id="rId8"/>
      <w:headerReference w:type="first" r:id="rId9"/>
      <w:footerReference w:type="first" r:id="rId10"/>
      <w:pgSz w:w="11906" w:h="16838"/>
      <w:pgMar w:top="993" w:right="1133" w:bottom="567" w:left="1418" w:header="284" w:footer="1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DD" w:rsidRDefault="00BF52DD" w:rsidP="00A37E22">
      <w:pPr>
        <w:spacing w:after="0" w:line="240" w:lineRule="auto"/>
      </w:pPr>
      <w:r>
        <w:separator/>
      </w:r>
    </w:p>
  </w:endnote>
  <w:endnote w:type="continuationSeparator" w:id="0">
    <w:p w:rsidR="00BF52DD" w:rsidRDefault="00BF52DD" w:rsidP="00A37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DD" w:rsidRDefault="0081647A" w:rsidP="00CB4573">
    <w:pPr>
      <w:pStyle w:val="a6"/>
      <w:jc w:val="center"/>
    </w:pPr>
    <w:r w:rsidRPr="00DF680B">
      <w:rPr>
        <w:sz w:val="18"/>
        <w:szCs w:val="18"/>
      </w:rPr>
      <w:fldChar w:fldCharType="begin"/>
    </w:r>
    <w:r w:rsidR="00BF52DD" w:rsidRPr="00DF680B">
      <w:rPr>
        <w:sz w:val="18"/>
        <w:szCs w:val="18"/>
      </w:rPr>
      <w:instrText xml:space="preserve"> PAGE   \* MERGEFORMAT </w:instrText>
    </w:r>
    <w:r w:rsidRPr="00DF680B">
      <w:rPr>
        <w:sz w:val="18"/>
        <w:szCs w:val="18"/>
      </w:rPr>
      <w:fldChar w:fldCharType="separate"/>
    </w:r>
    <w:r w:rsidR="00D11604">
      <w:rPr>
        <w:noProof/>
        <w:sz w:val="18"/>
        <w:szCs w:val="18"/>
      </w:rPr>
      <w:t>4</w:t>
    </w:r>
    <w:r w:rsidRPr="00DF680B">
      <w:rPr>
        <w:sz w:val="18"/>
        <w:szCs w:val="18"/>
      </w:rPr>
      <w:fldChar w:fldCharType="end"/>
    </w:r>
  </w:p>
  <w:p w:rsidR="00BF52DD" w:rsidRDefault="00BF52D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DD" w:rsidRPr="00681884" w:rsidRDefault="0081647A" w:rsidP="004770AA">
    <w:pPr>
      <w:pStyle w:val="a6"/>
      <w:tabs>
        <w:tab w:val="left" w:pos="142"/>
      </w:tabs>
      <w:ind w:right="-2"/>
      <w:rPr>
        <w:rFonts w:ascii="Arial" w:hAnsi="Arial" w:cs="Arial"/>
        <w:sz w:val="14"/>
        <w:szCs w:val="14"/>
      </w:rPr>
    </w:pPr>
    <w:r w:rsidRPr="0081647A">
      <w:rPr>
        <w:noProof/>
        <w:lang w:eastAsia="el-GR"/>
      </w:rPr>
      <w:pict>
        <v:group id="Group 1" o:spid="_x0000_s4097" style="position:absolute;margin-left:62.1pt;margin-top:811.15pt;width:466pt;height:3.55pt;flip:y;z-index:-251658240;mso-position-horizontal-relative:page;mso-position-vertical-relative:page" coordorigin="825,15883" coordsize="1025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" o:allowincell="f">
          <v:shape id="Freeform 2" o:spid="_x0000_s4100" style="position:absolute;left:836;top:15894;width:3411;height:0;visibility:visible;mso-wrap-style:square;v-text-anchor:top" coordsize="3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lizMAA&#10;AADaAAAADwAAAGRycy9kb3ducmV2LnhtbESPQWsCMRSE74X+h/AKXopmVZCyGqUUjL30oG7vj81z&#10;d3HzsiRR479vCoLHYWa+YVabZHtxJR86xwqmkwIEce1Mx42C6rgdf4AIEdlg75gU3CnAZv36ssLS&#10;uBvv6XqIjcgQDiUqaGMcSilD3ZLFMHEDcfZOzluMWfpGGo+3DLe9nBXFQlrsOC+0ONBXS/X5cLEK&#10;km6qX62j/3lHjbukZ2YxWKVGb+lzCSJSis/wo/1tFMzh/0q+AXL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lizMAAAADaAAAADwAAAAAAAAAAAAAAAACYAgAAZHJzL2Rvd25y&#10;ZXYueG1sUEsFBgAAAAAEAAQA9QAAAIUDAAAAAA==&#10;" path="m,l3410,e" filled="f" strokecolor="#fc7209" strokeweight=".38553mm">
            <v:path arrowok="t" o:connecttype="custom" o:connectlocs="0,0;3410,0" o:connectangles="0,0"/>
          </v:shape>
          <v:shape id="Freeform 3" o:spid="_x0000_s4099" style="position:absolute;left:4247;top:15894;width:3411;height:0;visibility:visible;mso-wrap-style:square;v-text-anchor:top" coordsize="34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oB2MQA&#10;AADaAAAADwAAAGRycy9kb3ducmV2LnhtbESPQWvCQBSE74L/YXmCN90oIiW6SquthKKHqoceH9nX&#10;JJh9G3fXGP99Vyj0OMzMN8xy3ZlatOR8ZVnBZJyAIM6trrhQcD59jF5A+ICssbZMCh7kYb3q95aY&#10;anvnL2qPoRARwj5FBWUITSqlz0sy6Me2IY7ej3UGQ5SukNrhPcJNLadJMpcGK44LJTa0KSm/HG9G&#10;Qf2Wnbg9uL3Mdp/X7ffssjts3pUaDrrXBYhAXfgP/7UzrWAGzyvxBs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qAdjEAAAA2gAAAA8AAAAAAAAAAAAAAAAAmAIAAGRycy9k&#10;b3ducmV2LnhtbFBLBQYAAAAABAAEAPUAAACJAwAAAAA=&#10;" path="m,l3410,e" filled="f" strokecolor="#fdd103" strokeweight=".38553mm">
            <v:path arrowok="t" o:connecttype="custom" o:connectlocs="0,0;3410,0" o:connectangles="0,0"/>
          </v:shape>
          <v:shape id="Freeform 4" o:spid="_x0000_s4098" style="position:absolute;left:7658;top:15894;width:3410;height:0;visibility:visible;mso-wrap-style:square;v-text-anchor:top" coordsize="34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LSAMAA&#10;AADaAAAADwAAAGRycy9kb3ducmV2LnhtbESP0YrCMBRE3wX/IVzBN013RSldo6wrgo/q9gMuzd22&#10;bHMTm9jWvzeC4OMwM2eY9XYwjeio9bVlBR/zBARxYXXNpYL89zBLQfiArLGxTAru5GG7GY/WmGnb&#10;85m6SyhFhLDPUEEVgsuk9EVFBv3cOuLo/dnWYIiyLaVusY9w08jPJFlJgzXHhQod/VRU/F9uRoE+&#10;n9Kd7tze5kvvrmHw/WqRKjWdDN9fIAIN4R1+tY9awRKeV+INkJ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6LSAMAAAADaAAAADwAAAAAAAAAAAAAAAACYAgAAZHJzL2Rvd25y&#10;ZXYueG1sUEsFBgAAAAAEAAQA9QAAAIUDAAAAAA==&#10;" path="m,l3410,e" filled="f" strokecolor="#1986bc" strokeweight=".38553mm">
            <v:path arrowok="t" o:connecttype="custom" o:connectlocs="0,0;3410,0" o:connectangles="0,0"/>
          </v:shape>
          <w10:wrap anchorx="page" anchory="page"/>
        </v:group>
      </w:pict>
    </w:r>
    <w:r w:rsidR="00BF52DD" w:rsidRPr="00F32664">
      <w:rPr>
        <w:rFonts w:ascii="Arial" w:hAnsi="Arial" w:cs="Arial"/>
        <w:b/>
        <w:bCs/>
        <w:color w:val="17365D"/>
        <w:sz w:val="14"/>
        <w:szCs w:val="14"/>
      </w:rPr>
      <w:t>ΕΠΙΤΡΟΠΗ ΛΟΓΙΣΤΙΚΗΣ ΤΥΠΟΠΟΙΗΣΗΣ &amp;</w:t>
    </w:r>
    <w:r w:rsidR="00BF52DD" w:rsidRPr="0080091A">
      <w:rPr>
        <w:rFonts w:ascii="Arial" w:hAnsi="Arial" w:cs="Arial"/>
        <w:b/>
        <w:bCs/>
        <w:color w:val="17365D"/>
        <w:sz w:val="14"/>
        <w:szCs w:val="14"/>
      </w:rPr>
      <w:t xml:space="preserve"> </w:t>
    </w:r>
    <w:r w:rsidR="00BF52DD" w:rsidRPr="00F32664">
      <w:rPr>
        <w:rFonts w:ascii="Arial" w:hAnsi="Arial" w:cs="Arial"/>
        <w:b/>
        <w:bCs/>
        <w:color w:val="17365D"/>
        <w:sz w:val="14"/>
        <w:szCs w:val="14"/>
      </w:rPr>
      <w:t>ΕΛΕΓΧΩΝ</w:t>
    </w:r>
    <w:r w:rsidR="00BF52DD">
      <w:rPr>
        <w:rFonts w:ascii="Arial" w:hAnsi="Arial" w:cs="Arial"/>
        <w:b/>
        <w:bCs/>
        <w:color w:val="17365D"/>
        <w:sz w:val="14"/>
        <w:szCs w:val="14"/>
      </w:rPr>
      <w:t xml:space="preserve"> </w:t>
    </w:r>
    <w:r w:rsidR="00BF52DD" w:rsidRPr="00F32664">
      <w:rPr>
        <w:rFonts w:ascii="Arial" w:hAnsi="Arial" w:cs="Arial"/>
        <w:b/>
        <w:bCs/>
        <w:color w:val="17365D"/>
        <w:sz w:val="14"/>
        <w:szCs w:val="14"/>
      </w:rPr>
      <w:t>Βουλής 7, 5ος όρο</w:t>
    </w:r>
    <w:r w:rsidR="00BF52DD">
      <w:rPr>
        <w:rFonts w:ascii="Arial" w:hAnsi="Arial" w:cs="Arial"/>
        <w:b/>
        <w:bCs/>
        <w:color w:val="17365D"/>
        <w:sz w:val="14"/>
        <w:szCs w:val="14"/>
      </w:rPr>
      <w:t>φος 10562 Αθήνα, Τ</w:t>
    </w:r>
    <w:r w:rsidR="00BF52DD" w:rsidRPr="003B72C6">
      <w:rPr>
        <w:rFonts w:ascii="Arial" w:hAnsi="Arial" w:cs="Arial"/>
        <w:b/>
        <w:bCs/>
        <w:color w:val="17365D"/>
        <w:sz w:val="14"/>
        <w:szCs w:val="14"/>
      </w:rPr>
      <w:t>:</w:t>
    </w:r>
    <w:r w:rsidR="00BF52DD">
      <w:rPr>
        <w:rFonts w:ascii="Arial" w:hAnsi="Arial" w:cs="Arial"/>
        <w:b/>
        <w:bCs/>
        <w:color w:val="17365D"/>
        <w:sz w:val="14"/>
        <w:szCs w:val="14"/>
      </w:rPr>
      <w:t xml:space="preserve"> </w:t>
    </w:r>
    <w:r w:rsidR="00BF52DD" w:rsidRPr="00F32664">
      <w:rPr>
        <w:rFonts w:ascii="Arial" w:hAnsi="Arial" w:cs="Arial"/>
        <w:b/>
        <w:bCs/>
        <w:color w:val="17365D"/>
        <w:sz w:val="14"/>
        <w:szCs w:val="14"/>
      </w:rPr>
      <w:t xml:space="preserve">210 3242648, </w:t>
    </w:r>
    <w:r w:rsidR="00BF52DD">
      <w:rPr>
        <w:rFonts w:ascii="Arial" w:hAnsi="Arial" w:cs="Arial"/>
        <w:b/>
        <w:bCs/>
        <w:color w:val="17365D"/>
        <w:sz w:val="14"/>
        <w:szCs w:val="14"/>
        <w:lang w:val="en-US"/>
      </w:rPr>
      <w:t>F</w:t>
    </w:r>
    <w:r w:rsidR="00BF52DD" w:rsidRPr="003B72C6">
      <w:rPr>
        <w:rFonts w:ascii="Arial" w:hAnsi="Arial" w:cs="Arial"/>
        <w:b/>
        <w:bCs/>
        <w:color w:val="17365D"/>
        <w:sz w:val="14"/>
        <w:szCs w:val="14"/>
      </w:rPr>
      <w:t>:</w:t>
    </w:r>
    <w:r w:rsidR="00BF52DD" w:rsidRPr="00F32664">
      <w:rPr>
        <w:rFonts w:ascii="Arial" w:hAnsi="Arial" w:cs="Arial"/>
        <w:b/>
        <w:bCs/>
        <w:color w:val="17365D"/>
        <w:sz w:val="14"/>
        <w:szCs w:val="14"/>
      </w:rPr>
      <w:t xml:space="preserve"> 210 3234141</w:t>
    </w:r>
    <w:r w:rsidR="00BF52DD">
      <w:rPr>
        <w:rFonts w:ascii="Arial" w:hAnsi="Arial" w:cs="Arial"/>
        <w:b/>
        <w:bCs/>
        <w:color w:val="17365D"/>
        <w:sz w:val="14"/>
        <w:szCs w:val="14"/>
      </w:rPr>
      <w:t xml:space="preserve">, </w:t>
    </w:r>
    <w:hyperlink r:id="rId1" w:history="1">
      <w:r w:rsidR="00BF52DD" w:rsidRPr="009D19D6">
        <w:rPr>
          <w:rStyle w:val="-"/>
          <w:rFonts w:ascii="Arial" w:hAnsi="Arial" w:cs="Arial"/>
          <w:b/>
          <w:bCs/>
          <w:sz w:val="14"/>
          <w:szCs w:val="14"/>
          <w:lang w:val="en-US"/>
        </w:rPr>
        <w:t>www</w:t>
      </w:r>
      <w:r w:rsidR="00BF52DD" w:rsidRPr="009D19D6">
        <w:rPr>
          <w:rStyle w:val="-"/>
          <w:rFonts w:ascii="Arial" w:hAnsi="Arial" w:cs="Arial"/>
          <w:b/>
          <w:bCs/>
          <w:sz w:val="14"/>
          <w:szCs w:val="14"/>
        </w:rPr>
        <w:t>.</w:t>
      </w:r>
      <w:r w:rsidR="00BF52DD" w:rsidRPr="009D19D6">
        <w:rPr>
          <w:rStyle w:val="-"/>
          <w:rFonts w:ascii="Arial" w:hAnsi="Arial" w:cs="Arial"/>
          <w:b/>
          <w:bCs/>
          <w:sz w:val="14"/>
          <w:szCs w:val="14"/>
          <w:lang w:val="en-US"/>
        </w:rPr>
        <w:t>elte</w:t>
      </w:r>
      <w:r w:rsidR="00BF52DD" w:rsidRPr="009D19D6">
        <w:rPr>
          <w:rStyle w:val="-"/>
          <w:rFonts w:ascii="Arial" w:hAnsi="Arial" w:cs="Arial"/>
          <w:b/>
          <w:bCs/>
          <w:sz w:val="14"/>
          <w:szCs w:val="14"/>
        </w:rPr>
        <w:t>.</w:t>
      </w:r>
      <w:r w:rsidR="00BF52DD" w:rsidRPr="009D19D6">
        <w:rPr>
          <w:rStyle w:val="-"/>
          <w:rFonts w:ascii="Arial" w:hAnsi="Arial" w:cs="Arial"/>
          <w:b/>
          <w:bCs/>
          <w:sz w:val="14"/>
          <w:szCs w:val="14"/>
          <w:lang w:val="en-US"/>
        </w:rPr>
        <w:t>org</w:t>
      </w:r>
      <w:r w:rsidR="00BF52DD" w:rsidRPr="009D19D6">
        <w:rPr>
          <w:rStyle w:val="-"/>
          <w:rFonts w:ascii="Arial" w:hAnsi="Arial" w:cs="Arial"/>
          <w:b/>
          <w:bCs/>
          <w:sz w:val="14"/>
          <w:szCs w:val="14"/>
        </w:rPr>
        <w:t>.</w:t>
      </w:r>
      <w:r w:rsidR="00BF52DD" w:rsidRPr="009D19D6">
        <w:rPr>
          <w:rStyle w:val="-"/>
          <w:rFonts w:ascii="Arial" w:hAnsi="Arial" w:cs="Arial"/>
          <w:b/>
          <w:bCs/>
          <w:sz w:val="14"/>
          <w:szCs w:val="14"/>
          <w:lang w:val="en-US"/>
        </w:rPr>
        <w:t>gr</w:t>
      </w:r>
    </w:hyperlink>
    <w:r w:rsidR="00BF52DD">
      <w:rPr>
        <w:rFonts w:ascii="Arial" w:hAnsi="Arial" w:cs="Arial"/>
        <w:b/>
        <w:bCs/>
        <w:color w:val="17365D"/>
        <w:sz w:val="14"/>
        <w:szCs w:val="1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DD" w:rsidRDefault="00BF52DD" w:rsidP="00A37E22">
      <w:pPr>
        <w:spacing w:after="0" w:line="240" w:lineRule="auto"/>
      </w:pPr>
      <w:r>
        <w:separator/>
      </w:r>
    </w:p>
  </w:footnote>
  <w:footnote w:type="continuationSeparator" w:id="0">
    <w:p w:rsidR="00BF52DD" w:rsidRDefault="00BF52DD" w:rsidP="00A37E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2DD" w:rsidRDefault="00BF52DD" w:rsidP="008069D9">
    <w:pPr>
      <w:pStyle w:val="a5"/>
      <w:ind w:left="-142" w:right="-144"/>
    </w:pPr>
    <w:r>
      <w:rPr>
        <w:noProof/>
        <w:lang w:eastAsia="el-GR"/>
      </w:rPr>
      <w:drawing>
        <wp:inline distT="0" distB="0" distL="0" distR="0">
          <wp:extent cx="5724525" cy="942975"/>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4525" cy="9429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90B02"/>
    <w:multiLevelType w:val="hybridMultilevel"/>
    <w:tmpl w:val="9ABE11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4D575B31"/>
    <w:multiLevelType w:val="multilevel"/>
    <w:tmpl w:val="4628E41C"/>
    <w:lvl w:ilvl="0">
      <w:start w:val="3"/>
      <w:numFmt w:val="decimal"/>
      <w:lvlText w:val="%1."/>
      <w:lvlJc w:val="left"/>
      <w:pPr>
        <w:tabs>
          <w:tab w:val="decimal" w:pos="216"/>
        </w:tabs>
        <w:ind w:left="720"/>
      </w:pPr>
      <w:rPr>
        <w:rFonts w:ascii="Times New Roman" w:hAnsi="Times New Roman"/>
        <w:b/>
        <w:strike w:val="0"/>
        <w:color w:val="01070C"/>
        <w:spacing w:val="-11"/>
        <w:w w:val="100"/>
        <w:sz w:val="23"/>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9118F9"/>
    <w:multiLevelType w:val="multilevel"/>
    <w:tmpl w:val="9CF61882"/>
    <w:lvl w:ilvl="0">
      <w:start w:val="1"/>
      <w:numFmt w:val="decimal"/>
      <w:lvlText w:val="%1."/>
      <w:lvlJc w:val="left"/>
      <w:pPr>
        <w:tabs>
          <w:tab w:val="decimal" w:pos="278"/>
        </w:tabs>
        <w:ind w:left="710"/>
      </w:pPr>
      <w:rPr>
        <w:rFonts w:ascii="Times New Roman" w:hAnsi="Times New Roman"/>
        <w:b/>
        <w:strike w:val="0"/>
        <w:color w:val="000000"/>
        <w:spacing w:val="-1"/>
        <w:w w:val="100"/>
        <w:sz w:val="23"/>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B167B7"/>
    <w:multiLevelType w:val="hybridMultilevel"/>
    <w:tmpl w:val="621C35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4101"/>
    <o:shapelayout v:ext="edit">
      <o:idmap v:ext="edit" data="4"/>
    </o:shapelayout>
  </w:hdrShapeDefaults>
  <w:footnotePr>
    <w:footnote w:id="-1"/>
    <w:footnote w:id="0"/>
  </w:footnotePr>
  <w:endnotePr>
    <w:endnote w:id="-1"/>
    <w:endnote w:id="0"/>
  </w:endnotePr>
  <w:compat/>
  <w:rsids>
    <w:rsidRoot w:val="004424A7"/>
    <w:rsid w:val="00005FD3"/>
    <w:rsid w:val="00010357"/>
    <w:rsid w:val="000129E7"/>
    <w:rsid w:val="00015E3A"/>
    <w:rsid w:val="00015F17"/>
    <w:rsid w:val="00016495"/>
    <w:rsid w:val="0002100D"/>
    <w:rsid w:val="00021386"/>
    <w:rsid w:val="00021628"/>
    <w:rsid w:val="00021FBC"/>
    <w:rsid w:val="00023D8F"/>
    <w:rsid w:val="00023F7D"/>
    <w:rsid w:val="00024B96"/>
    <w:rsid w:val="000263E8"/>
    <w:rsid w:val="000274F0"/>
    <w:rsid w:val="000276DA"/>
    <w:rsid w:val="00033F6B"/>
    <w:rsid w:val="00034D1C"/>
    <w:rsid w:val="00035AF1"/>
    <w:rsid w:val="00036357"/>
    <w:rsid w:val="00040286"/>
    <w:rsid w:val="00041D59"/>
    <w:rsid w:val="0004209B"/>
    <w:rsid w:val="00042465"/>
    <w:rsid w:val="000433DE"/>
    <w:rsid w:val="00044166"/>
    <w:rsid w:val="000463CB"/>
    <w:rsid w:val="0005108A"/>
    <w:rsid w:val="00056B69"/>
    <w:rsid w:val="000600D7"/>
    <w:rsid w:val="0006540E"/>
    <w:rsid w:val="000668DC"/>
    <w:rsid w:val="0006793F"/>
    <w:rsid w:val="00075452"/>
    <w:rsid w:val="000778D2"/>
    <w:rsid w:val="0008095D"/>
    <w:rsid w:val="00080D67"/>
    <w:rsid w:val="00080E33"/>
    <w:rsid w:val="0008205B"/>
    <w:rsid w:val="00082241"/>
    <w:rsid w:val="00082AA4"/>
    <w:rsid w:val="000879F4"/>
    <w:rsid w:val="00087A96"/>
    <w:rsid w:val="000932AD"/>
    <w:rsid w:val="00094FCF"/>
    <w:rsid w:val="000952E4"/>
    <w:rsid w:val="000957D8"/>
    <w:rsid w:val="000A05CF"/>
    <w:rsid w:val="000A2408"/>
    <w:rsid w:val="000A46C0"/>
    <w:rsid w:val="000A541C"/>
    <w:rsid w:val="000A5794"/>
    <w:rsid w:val="000A6083"/>
    <w:rsid w:val="000A6774"/>
    <w:rsid w:val="000A6EE2"/>
    <w:rsid w:val="000B1CF1"/>
    <w:rsid w:val="000B4153"/>
    <w:rsid w:val="000B5826"/>
    <w:rsid w:val="000C0B66"/>
    <w:rsid w:val="000C14B7"/>
    <w:rsid w:val="000C349E"/>
    <w:rsid w:val="000C66D3"/>
    <w:rsid w:val="000C6F22"/>
    <w:rsid w:val="000D0AEB"/>
    <w:rsid w:val="000D0ECE"/>
    <w:rsid w:val="000D1A32"/>
    <w:rsid w:val="000D2ED1"/>
    <w:rsid w:val="000D43D1"/>
    <w:rsid w:val="000D6B11"/>
    <w:rsid w:val="000D6B66"/>
    <w:rsid w:val="000D6D93"/>
    <w:rsid w:val="000D72FF"/>
    <w:rsid w:val="000E6B38"/>
    <w:rsid w:val="000E75D1"/>
    <w:rsid w:val="000E7C94"/>
    <w:rsid w:val="000F1023"/>
    <w:rsid w:val="000F188F"/>
    <w:rsid w:val="000F1C8B"/>
    <w:rsid w:val="000F1E8B"/>
    <w:rsid w:val="000F2D53"/>
    <w:rsid w:val="000F62A9"/>
    <w:rsid w:val="00100D9E"/>
    <w:rsid w:val="00101C58"/>
    <w:rsid w:val="001042E0"/>
    <w:rsid w:val="00105158"/>
    <w:rsid w:val="00105D3D"/>
    <w:rsid w:val="00106A55"/>
    <w:rsid w:val="001076B5"/>
    <w:rsid w:val="0011143B"/>
    <w:rsid w:val="00111B6B"/>
    <w:rsid w:val="00112AA3"/>
    <w:rsid w:val="001143CE"/>
    <w:rsid w:val="001153B5"/>
    <w:rsid w:val="00116548"/>
    <w:rsid w:val="00122261"/>
    <w:rsid w:val="001225D9"/>
    <w:rsid w:val="00125555"/>
    <w:rsid w:val="00130270"/>
    <w:rsid w:val="001329B9"/>
    <w:rsid w:val="00133249"/>
    <w:rsid w:val="001333E4"/>
    <w:rsid w:val="0013345A"/>
    <w:rsid w:val="00133BC9"/>
    <w:rsid w:val="001368E0"/>
    <w:rsid w:val="00137BCA"/>
    <w:rsid w:val="001424C7"/>
    <w:rsid w:val="001426A2"/>
    <w:rsid w:val="00143D77"/>
    <w:rsid w:val="00145CD8"/>
    <w:rsid w:val="00147FB0"/>
    <w:rsid w:val="001505EB"/>
    <w:rsid w:val="00151EB8"/>
    <w:rsid w:val="00154C52"/>
    <w:rsid w:val="001609BE"/>
    <w:rsid w:val="00160E2F"/>
    <w:rsid w:val="0016312E"/>
    <w:rsid w:val="00163AAD"/>
    <w:rsid w:val="001660AD"/>
    <w:rsid w:val="00166FF8"/>
    <w:rsid w:val="001701B4"/>
    <w:rsid w:val="00171064"/>
    <w:rsid w:val="00171C96"/>
    <w:rsid w:val="00171F7E"/>
    <w:rsid w:val="001743B3"/>
    <w:rsid w:val="001752CC"/>
    <w:rsid w:val="001754A8"/>
    <w:rsid w:val="00176081"/>
    <w:rsid w:val="001773FE"/>
    <w:rsid w:val="00177AA5"/>
    <w:rsid w:val="001838ED"/>
    <w:rsid w:val="00183933"/>
    <w:rsid w:val="00183AFB"/>
    <w:rsid w:val="00183C65"/>
    <w:rsid w:val="00184B1C"/>
    <w:rsid w:val="0018710A"/>
    <w:rsid w:val="00187850"/>
    <w:rsid w:val="00191469"/>
    <w:rsid w:val="00193953"/>
    <w:rsid w:val="001A377F"/>
    <w:rsid w:val="001A3B29"/>
    <w:rsid w:val="001B5F7D"/>
    <w:rsid w:val="001B6B1F"/>
    <w:rsid w:val="001C1935"/>
    <w:rsid w:val="001C361C"/>
    <w:rsid w:val="001C3950"/>
    <w:rsid w:val="001C3DB6"/>
    <w:rsid w:val="001C5C0A"/>
    <w:rsid w:val="001C7F15"/>
    <w:rsid w:val="001D188D"/>
    <w:rsid w:val="001D5945"/>
    <w:rsid w:val="001D599D"/>
    <w:rsid w:val="001E476C"/>
    <w:rsid w:val="001E5260"/>
    <w:rsid w:val="001E7CB1"/>
    <w:rsid w:val="001F0226"/>
    <w:rsid w:val="001F0B4D"/>
    <w:rsid w:val="001F5079"/>
    <w:rsid w:val="00204315"/>
    <w:rsid w:val="00204EE0"/>
    <w:rsid w:val="0020690F"/>
    <w:rsid w:val="00207EF7"/>
    <w:rsid w:val="002142BE"/>
    <w:rsid w:val="00215C44"/>
    <w:rsid w:val="00216ED9"/>
    <w:rsid w:val="00216EF3"/>
    <w:rsid w:val="00220459"/>
    <w:rsid w:val="00222862"/>
    <w:rsid w:val="002235EB"/>
    <w:rsid w:val="00223863"/>
    <w:rsid w:val="00224711"/>
    <w:rsid w:val="0022683F"/>
    <w:rsid w:val="00226915"/>
    <w:rsid w:val="0023359C"/>
    <w:rsid w:val="00234CBD"/>
    <w:rsid w:val="002364D3"/>
    <w:rsid w:val="0023768B"/>
    <w:rsid w:val="00240AB9"/>
    <w:rsid w:val="00241899"/>
    <w:rsid w:val="002421C7"/>
    <w:rsid w:val="00243683"/>
    <w:rsid w:val="002452B2"/>
    <w:rsid w:val="00246296"/>
    <w:rsid w:val="00246E36"/>
    <w:rsid w:val="0025537E"/>
    <w:rsid w:val="00255835"/>
    <w:rsid w:val="002562DB"/>
    <w:rsid w:val="0025668F"/>
    <w:rsid w:val="002613AC"/>
    <w:rsid w:val="00264C2F"/>
    <w:rsid w:val="00265006"/>
    <w:rsid w:val="00265327"/>
    <w:rsid w:val="002668B8"/>
    <w:rsid w:val="002704C8"/>
    <w:rsid w:val="00272323"/>
    <w:rsid w:val="00273278"/>
    <w:rsid w:val="00273E17"/>
    <w:rsid w:val="00275220"/>
    <w:rsid w:val="00276864"/>
    <w:rsid w:val="002773A3"/>
    <w:rsid w:val="002823AE"/>
    <w:rsid w:val="002855B1"/>
    <w:rsid w:val="00286C9D"/>
    <w:rsid w:val="002911B0"/>
    <w:rsid w:val="00291537"/>
    <w:rsid w:val="002923B1"/>
    <w:rsid w:val="00292D77"/>
    <w:rsid w:val="00295C9B"/>
    <w:rsid w:val="00297079"/>
    <w:rsid w:val="00297958"/>
    <w:rsid w:val="002A1B66"/>
    <w:rsid w:val="002A40F1"/>
    <w:rsid w:val="002B238F"/>
    <w:rsid w:val="002B48B4"/>
    <w:rsid w:val="002B60FB"/>
    <w:rsid w:val="002B7015"/>
    <w:rsid w:val="002B7486"/>
    <w:rsid w:val="002C257F"/>
    <w:rsid w:val="002C4C27"/>
    <w:rsid w:val="002C4D69"/>
    <w:rsid w:val="002C5EB4"/>
    <w:rsid w:val="002C609D"/>
    <w:rsid w:val="002D046D"/>
    <w:rsid w:val="002D45A1"/>
    <w:rsid w:val="002E0367"/>
    <w:rsid w:val="002E3E60"/>
    <w:rsid w:val="002E51F2"/>
    <w:rsid w:val="002F0F4D"/>
    <w:rsid w:val="00301A60"/>
    <w:rsid w:val="0030208C"/>
    <w:rsid w:val="003073A1"/>
    <w:rsid w:val="00311A6C"/>
    <w:rsid w:val="00313E9A"/>
    <w:rsid w:val="00316D89"/>
    <w:rsid w:val="00316E62"/>
    <w:rsid w:val="00321F1B"/>
    <w:rsid w:val="0032334F"/>
    <w:rsid w:val="00323B83"/>
    <w:rsid w:val="00323C16"/>
    <w:rsid w:val="00324BB3"/>
    <w:rsid w:val="00326D2A"/>
    <w:rsid w:val="0032724E"/>
    <w:rsid w:val="00330950"/>
    <w:rsid w:val="0033110C"/>
    <w:rsid w:val="003324EC"/>
    <w:rsid w:val="00337E1B"/>
    <w:rsid w:val="003410A6"/>
    <w:rsid w:val="0034249F"/>
    <w:rsid w:val="003424C8"/>
    <w:rsid w:val="00342C79"/>
    <w:rsid w:val="0034420B"/>
    <w:rsid w:val="003445BD"/>
    <w:rsid w:val="003479DD"/>
    <w:rsid w:val="00347FC7"/>
    <w:rsid w:val="0035072D"/>
    <w:rsid w:val="00351E53"/>
    <w:rsid w:val="0035265F"/>
    <w:rsid w:val="00352C2F"/>
    <w:rsid w:val="00353E32"/>
    <w:rsid w:val="00363D8C"/>
    <w:rsid w:val="00366530"/>
    <w:rsid w:val="003678C4"/>
    <w:rsid w:val="003703E5"/>
    <w:rsid w:val="00372167"/>
    <w:rsid w:val="0037262D"/>
    <w:rsid w:val="003757BE"/>
    <w:rsid w:val="00375AD0"/>
    <w:rsid w:val="00380C15"/>
    <w:rsid w:val="00384080"/>
    <w:rsid w:val="0038585C"/>
    <w:rsid w:val="00385C4F"/>
    <w:rsid w:val="00387145"/>
    <w:rsid w:val="00391E76"/>
    <w:rsid w:val="00392C9D"/>
    <w:rsid w:val="00393808"/>
    <w:rsid w:val="003953E2"/>
    <w:rsid w:val="0039567A"/>
    <w:rsid w:val="00396CBF"/>
    <w:rsid w:val="00397E64"/>
    <w:rsid w:val="003A0548"/>
    <w:rsid w:val="003A0B44"/>
    <w:rsid w:val="003A5801"/>
    <w:rsid w:val="003B11D8"/>
    <w:rsid w:val="003B2E57"/>
    <w:rsid w:val="003B624C"/>
    <w:rsid w:val="003B62F2"/>
    <w:rsid w:val="003B72C6"/>
    <w:rsid w:val="003C17B7"/>
    <w:rsid w:val="003C2437"/>
    <w:rsid w:val="003C24FE"/>
    <w:rsid w:val="003C5277"/>
    <w:rsid w:val="003C71E2"/>
    <w:rsid w:val="003C79D3"/>
    <w:rsid w:val="003D00B3"/>
    <w:rsid w:val="003D1CC9"/>
    <w:rsid w:val="003D1F8E"/>
    <w:rsid w:val="003D2642"/>
    <w:rsid w:val="003D29DF"/>
    <w:rsid w:val="003D2DA7"/>
    <w:rsid w:val="003D3AF0"/>
    <w:rsid w:val="003D4A68"/>
    <w:rsid w:val="003D4EB4"/>
    <w:rsid w:val="003D54B0"/>
    <w:rsid w:val="003D6793"/>
    <w:rsid w:val="003E42A9"/>
    <w:rsid w:val="003E71BA"/>
    <w:rsid w:val="003F02BF"/>
    <w:rsid w:val="003F07E2"/>
    <w:rsid w:val="003F0CDC"/>
    <w:rsid w:val="003F2CB2"/>
    <w:rsid w:val="003F3025"/>
    <w:rsid w:val="003F537E"/>
    <w:rsid w:val="003F5507"/>
    <w:rsid w:val="003F5709"/>
    <w:rsid w:val="003F6160"/>
    <w:rsid w:val="003F621D"/>
    <w:rsid w:val="003F6D36"/>
    <w:rsid w:val="003F73A1"/>
    <w:rsid w:val="00400435"/>
    <w:rsid w:val="004005A1"/>
    <w:rsid w:val="00400D11"/>
    <w:rsid w:val="0040141D"/>
    <w:rsid w:val="00403D47"/>
    <w:rsid w:val="00405358"/>
    <w:rsid w:val="004055A1"/>
    <w:rsid w:val="00410E1C"/>
    <w:rsid w:val="004127C4"/>
    <w:rsid w:val="004150BC"/>
    <w:rsid w:val="00415F50"/>
    <w:rsid w:val="00416965"/>
    <w:rsid w:val="00417DEA"/>
    <w:rsid w:val="0042166D"/>
    <w:rsid w:val="004225B1"/>
    <w:rsid w:val="00423F96"/>
    <w:rsid w:val="00425AB0"/>
    <w:rsid w:val="004268C4"/>
    <w:rsid w:val="004309F9"/>
    <w:rsid w:val="00431731"/>
    <w:rsid w:val="00432C36"/>
    <w:rsid w:val="00440C51"/>
    <w:rsid w:val="004424A7"/>
    <w:rsid w:val="004429A7"/>
    <w:rsid w:val="00442E0E"/>
    <w:rsid w:val="0044427A"/>
    <w:rsid w:val="00444C9A"/>
    <w:rsid w:val="0045450C"/>
    <w:rsid w:val="00454985"/>
    <w:rsid w:val="00454A25"/>
    <w:rsid w:val="00462450"/>
    <w:rsid w:val="0046268E"/>
    <w:rsid w:val="004655F7"/>
    <w:rsid w:val="0047050A"/>
    <w:rsid w:val="00471E76"/>
    <w:rsid w:val="004724B1"/>
    <w:rsid w:val="00473024"/>
    <w:rsid w:val="00473098"/>
    <w:rsid w:val="00473CD4"/>
    <w:rsid w:val="0047523F"/>
    <w:rsid w:val="00475D4C"/>
    <w:rsid w:val="004770AA"/>
    <w:rsid w:val="004779A4"/>
    <w:rsid w:val="00480E38"/>
    <w:rsid w:val="004818AE"/>
    <w:rsid w:val="00481F0E"/>
    <w:rsid w:val="00482B0E"/>
    <w:rsid w:val="00484DD2"/>
    <w:rsid w:val="004858F7"/>
    <w:rsid w:val="00487227"/>
    <w:rsid w:val="0048728C"/>
    <w:rsid w:val="004908C7"/>
    <w:rsid w:val="004917C3"/>
    <w:rsid w:val="0049526C"/>
    <w:rsid w:val="0049594D"/>
    <w:rsid w:val="004961D0"/>
    <w:rsid w:val="004A6CD3"/>
    <w:rsid w:val="004B09ED"/>
    <w:rsid w:val="004B1297"/>
    <w:rsid w:val="004B3218"/>
    <w:rsid w:val="004B3692"/>
    <w:rsid w:val="004B4A9F"/>
    <w:rsid w:val="004B4B06"/>
    <w:rsid w:val="004B4B1B"/>
    <w:rsid w:val="004B64EC"/>
    <w:rsid w:val="004B6EB9"/>
    <w:rsid w:val="004C4559"/>
    <w:rsid w:val="004C7BDE"/>
    <w:rsid w:val="004C7D9F"/>
    <w:rsid w:val="004D08C5"/>
    <w:rsid w:val="004D1456"/>
    <w:rsid w:val="004D1C1F"/>
    <w:rsid w:val="004D63AA"/>
    <w:rsid w:val="004E1484"/>
    <w:rsid w:val="004E2027"/>
    <w:rsid w:val="004E263D"/>
    <w:rsid w:val="004E28EE"/>
    <w:rsid w:val="004E4114"/>
    <w:rsid w:val="004E46ED"/>
    <w:rsid w:val="004E5F76"/>
    <w:rsid w:val="004E62D9"/>
    <w:rsid w:val="004F0C15"/>
    <w:rsid w:val="004F0FD0"/>
    <w:rsid w:val="004F1868"/>
    <w:rsid w:val="004F1D35"/>
    <w:rsid w:val="004F600E"/>
    <w:rsid w:val="004F6103"/>
    <w:rsid w:val="005004D2"/>
    <w:rsid w:val="005069B8"/>
    <w:rsid w:val="00506D04"/>
    <w:rsid w:val="0051211B"/>
    <w:rsid w:val="00512997"/>
    <w:rsid w:val="0051480D"/>
    <w:rsid w:val="00514908"/>
    <w:rsid w:val="005174B0"/>
    <w:rsid w:val="005200B0"/>
    <w:rsid w:val="0052124D"/>
    <w:rsid w:val="00521768"/>
    <w:rsid w:val="005232AA"/>
    <w:rsid w:val="005250E4"/>
    <w:rsid w:val="0052556B"/>
    <w:rsid w:val="00525F85"/>
    <w:rsid w:val="0052731E"/>
    <w:rsid w:val="0053002F"/>
    <w:rsid w:val="00531BC3"/>
    <w:rsid w:val="0053252A"/>
    <w:rsid w:val="005351CB"/>
    <w:rsid w:val="00536DB9"/>
    <w:rsid w:val="00537E2B"/>
    <w:rsid w:val="00540FA9"/>
    <w:rsid w:val="00541561"/>
    <w:rsid w:val="00544390"/>
    <w:rsid w:val="00545DD1"/>
    <w:rsid w:val="005461F3"/>
    <w:rsid w:val="00546755"/>
    <w:rsid w:val="00550614"/>
    <w:rsid w:val="00550E0A"/>
    <w:rsid w:val="00550FD2"/>
    <w:rsid w:val="005528CD"/>
    <w:rsid w:val="00555F32"/>
    <w:rsid w:val="00557BD0"/>
    <w:rsid w:val="0056357B"/>
    <w:rsid w:val="00563A88"/>
    <w:rsid w:val="00563C90"/>
    <w:rsid w:val="0056554A"/>
    <w:rsid w:val="00570373"/>
    <w:rsid w:val="00573C2A"/>
    <w:rsid w:val="0057564F"/>
    <w:rsid w:val="00576D74"/>
    <w:rsid w:val="005774AC"/>
    <w:rsid w:val="005802F2"/>
    <w:rsid w:val="005821EE"/>
    <w:rsid w:val="0058332C"/>
    <w:rsid w:val="00587516"/>
    <w:rsid w:val="00587AF7"/>
    <w:rsid w:val="0059045D"/>
    <w:rsid w:val="00591693"/>
    <w:rsid w:val="00591CC7"/>
    <w:rsid w:val="005933B0"/>
    <w:rsid w:val="00594CBC"/>
    <w:rsid w:val="005960C4"/>
    <w:rsid w:val="0059621C"/>
    <w:rsid w:val="005A0442"/>
    <w:rsid w:val="005A4664"/>
    <w:rsid w:val="005A615B"/>
    <w:rsid w:val="005A6C69"/>
    <w:rsid w:val="005B146C"/>
    <w:rsid w:val="005B5000"/>
    <w:rsid w:val="005B5622"/>
    <w:rsid w:val="005B60AD"/>
    <w:rsid w:val="005B6390"/>
    <w:rsid w:val="005C0F7F"/>
    <w:rsid w:val="005C17EC"/>
    <w:rsid w:val="005C2B65"/>
    <w:rsid w:val="005C3092"/>
    <w:rsid w:val="005C4612"/>
    <w:rsid w:val="005C472A"/>
    <w:rsid w:val="005C5C95"/>
    <w:rsid w:val="005C7E1B"/>
    <w:rsid w:val="005D0ABA"/>
    <w:rsid w:val="005D207B"/>
    <w:rsid w:val="005D2D0F"/>
    <w:rsid w:val="005D4573"/>
    <w:rsid w:val="005D4917"/>
    <w:rsid w:val="005D4E80"/>
    <w:rsid w:val="005D7DFE"/>
    <w:rsid w:val="005E1B26"/>
    <w:rsid w:val="005E56DA"/>
    <w:rsid w:val="005F09C3"/>
    <w:rsid w:val="005F469F"/>
    <w:rsid w:val="005F685C"/>
    <w:rsid w:val="00601390"/>
    <w:rsid w:val="00603C8D"/>
    <w:rsid w:val="00604625"/>
    <w:rsid w:val="00605841"/>
    <w:rsid w:val="0060655B"/>
    <w:rsid w:val="00606BB9"/>
    <w:rsid w:val="00610A9C"/>
    <w:rsid w:val="006116B9"/>
    <w:rsid w:val="00613305"/>
    <w:rsid w:val="006137B2"/>
    <w:rsid w:val="006211E5"/>
    <w:rsid w:val="00621AAC"/>
    <w:rsid w:val="00625FF8"/>
    <w:rsid w:val="006271D3"/>
    <w:rsid w:val="00627625"/>
    <w:rsid w:val="00630143"/>
    <w:rsid w:val="00633B8E"/>
    <w:rsid w:val="0063528C"/>
    <w:rsid w:val="00640DF4"/>
    <w:rsid w:val="00645CB9"/>
    <w:rsid w:val="00646662"/>
    <w:rsid w:val="00647BB6"/>
    <w:rsid w:val="006540E2"/>
    <w:rsid w:val="006564B6"/>
    <w:rsid w:val="00662AF0"/>
    <w:rsid w:val="00664A23"/>
    <w:rsid w:val="00664AC9"/>
    <w:rsid w:val="00665731"/>
    <w:rsid w:val="00665D6E"/>
    <w:rsid w:val="00667D13"/>
    <w:rsid w:val="00673BCC"/>
    <w:rsid w:val="006748EF"/>
    <w:rsid w:val="00676C9C"/>
    <w:rsid w:val="0067790B"/>
    <w:rsid w:val="00677F1E"/>
    <w:rsid w:val="00681884"/>
    <w:rsid w:val="00682149"/>
    <w:rsid w:val="0068600A"/>
    <w:rsid w:val="006872E7"/>
    <w:rsid w:val="00690AF3"/>
    <w:rsid w:val="00692B92"/>
    <w:rsid w:val="006974C5"/>
    <w:rsid w:val="006A0B06"/>
    <w:rsid w:val="006A0EB7"/>
    <w:rsid w:val="006A3758"/>
    <w:rsid w:val="006A579E"/>
    <w:rsid w:val="006B2278"/>
    <w:rsid w:val="006B4341"/>
    <w:rsid w:val="006B4471"/>
    <w:rsid w:val="006B4BED"/>
    <w:rsid w:val="006B4E2B"/>
    <w:rsid w:val="006B7A31"/>
    <w:rsid w:val="006B7F79"/>
    <w:rsid w:val="006C1205"/>
    <w:rsid w:val="006C1D23"/>
    <w:rsid w:val="006C46AC"/>
    <w:rsid w:val="006C5251"/>
    <w:rsid w:val="006C599E"/>
    <w:rsid w:val="006D031C"/>
    <w:rsid w:val="006D0A2C"/>
    <w:rsid w:val="006D552F"/>
    <w:rsid w:val="006E06E0"/>
    <w:rsid w:val="006E2E46"/>
    <w:rsid w:val="006E2FC9"/>
    <w:rsid w:val="006E4528"/>
    <w:rsid w:val="006E481F"/>
    <w:rsid w:val="006E7464"/>
    <w:rsid w:val="006F1DC7"/>
    <w:rsid w:val="006F2E48"/>
    <w:rsid w:val="006F5463"/>
    <w:rsid w:val="007031CF"/>
    <w:rsid w:val="0070375E"/>
    <w:rsid w:val="007038F5"/>
    <w:rsid w:val="00705060"/>
    <w:rsid w:val="007069D7"/>
    <w:rsid w:val="00712776"/>
    <w:rsid w:val="00712E94"/>
    <w:rsid w:val="0071321A"/>
    <w:rsid w:val="0071721F"/>
    <w:rsid w:val="00720517"/>
    <w:rsid w:val="007209D4"/>
    <w:rsid w:val="007216DA"/>
    <w:rsid w:val="0072259B"/>
    <w:rsid w:val="00722978"/>
    <w:rsid w:val="007239FC"/>
    <w:rsid w:val="007271CE"/>
    <w:rsid w:val="00730218"/>
    <w:rsid w:val="00730AEA"/>
    <w:rsid w:val="0073153A"/>
    <w:rsid w:val="007324A7"/>
    <w:rsid w:val="007333F7"/>
    <w:rsid w:val="00736C0C"/>
    <w:rsid w:val="00741F46"/>
    <w:rsid w:val="0074365E"/>
    <w:rsid w:val="00743BED"/>
    <w:rsid w:val="007456A3"/>
    <w:rsid w:val="00746757"/>
    <w:rsid w:val="00746833"/>
    <w:rsid w:val="00747CB0"/>
    <w:rsid w:val="00747CFD"/>
    <w:rsid w:val="00752E29"/>
    <w:rsid w:val="00754901"/>
    <w:rsid w:val="00754C5F"/>
    <w:rsid w:val="00755C9C"/>
    <w:rsid w:val="0075711E"/>
    <w:rsid w:val="00757DFA"/>
    <w:rsid w:val="0076199C"/>
    <w:rsid w:val="00761FD8"/>
    <w:rsid w:val="00763F11"/>
    <w:rsid w:val="00765985"/>
    <w:rsid w:val="00767F57"/>
    <w:rsid w:val="007703B9"/>
    <w:rsid w:val="00771555"/>
    <w:rsid w:val="007779B1"/>
    <w:rsid w:val="00782A4F"/>
    <w:rsid w:val="0078355D"/>
    <w:rsid w:val="00783AE6"/>
    <w:rsid w:val="007865B5"/>
    <w:rsid w:val="00786DDE"/>
    <w:rsid w:val="00786EF9"/>
    <w:rsid w:val="00793689"/>
    <w:rsid w:val="00794A87"/>
    <w:rsid w:val="00796821"/>
    <w:rsid w:val="007A0A28"/>
    <w:rsid w:val="007A2704"/>
    <w:rsid w:val="007A4838"/>
    <w:rsid w:val="007A572D"/>
    <w:rsid w:val="007B0AEE"/>
    <w:rsid w:val="007B42CE"/>
    <w:rsid w:val="007C06EB"/>
    <w:rsid w:val="007C1211"/>
    <w:rsid w:val="007C1368"/>
    <w:rsid w:val="007C37E4"/>
    <w:rsid w:val="007C4A8B"/>
    <w:rsid w:val="007C6BD7"/>
    <w:rsid w:val="007D0589"/>
    <w:rsid w:val="007D067B"/>
    <w:rsid w:val="007D072A"/>
    <w:rsid w:val="007D1549"/>
    <w:rsid w:val="007D2741"/>
    <w:rsid w:val="007D2986"/>
    <w:rsid w:val="007D357B"/>
    <w:rsid w:val="007D725F"/>
    <w:rsid w:val="007D7C66"/>
    <w:rsid w:val="007D7DC1"/>
    <w:rsid w:val="007E07C1"/>
    <w:rsid w:val="007E0A3D"/>
    <w:rsid w:val="007E0B86"/>
    <w:rsid w:val="007E3219"/>
    <w:rsid w:val="007E63FC"/>
    <w:rsid w:val="007E7331"/>
    <w:rsid w:val="007F052D"/>
    <w:rsid w:val="007F52B1"/>
    <w:rsid w:val="007F5583"/>
    <w:rsid w:val="0080091A"/>
    <w:rsid w:val="008025E1"/>
    <w:rsid w:val="0080372F"/>
    <w:rsid w:val="008069D9"/>
    <w:rsid w:val="008155D5"/>
    <w:rsid w:val="00815EBB"/>
    <w:rsid w:val="0081647A"/>
    <w:rsid w:val="0082043C"/>
    <w:rsid w:val="008210A1"/>
    <w:rsid w:val="008211FE"/>
    <w:rsid w:val="00821F79"/>
    <w:rsid w:val="008226CD"/>
    <w:rsid w:val="00822CEF"/>
    <w:rsid w:val="00827080"/>
    <w:rsid w:val="00827C9F"/>
    <w:rsid w:val="00832455"/>
    <w:rsid w:val="00835BB9"/>
    <w:rsid w:val="00840826"/>
    <w:rsid w:val="0084153C"/>
    <w:rsid w:val="00841A13"/>
    <w:rsid w:val="00843485"/>
    <w:rsid w:val="008459AD"/>
    <w:rsid w:val="008472C8"/>
    <w:rsid w:val="00847B36"/>
    <w:rsid w:val="008537D3"/>
    <w:rsid w:val="008544BF"/>
    <w:rsid w:val="008554A2"/>
    <w:rsid w:val="008567CE"/>
    <w:rsid w:val="0086177A"/>
    <w:rsid w:val="0086196A"/>
    <w:rsid w:val="00862FB9"/>
    <w:rsid w:val="00863BFA"/>
    <w:rsid w:val="00864A13"/>
    <w:rsid w:val="008702B8"/>
    <w:rsid w:val="008726F9"/>
    <w:rsid w:val="00874B07"/>
    <w:rsid w:val="00881447"/>
    <w:rsid w:val="00885519"/>
    <w:rsid w:val="008857A7"/>
    <w:rsid w:val="008876CE"/>
    <w:rsid w:val="008877D2"/>
    <w:rsid w:val="00895009"/>
    <w:rsid w:val="008A465C"/>
    <w:rsid w:val="008A62A0"/>
    <w:rsid w:val="008A6725"/>
    <w:rsid w:val="008A713E"/>
    <w:rsid w:val="008B1B99"/>
    <w:rsid w:val="008B233B"/>
    <w:rsid w:val="008B4278"/>
    <w:rsid w:val="008B6822"/>
    <w:rsid w:val="008B77B4"/>
    <w:rsid w:val="008C210E"/>
    <w:rsid w:val="008C305E"/>
    <w:rsid w:val="008C3D20"/>
    <w:rsid w:val="008C4E77"/>
    <w:rsid w:val="008C5598"/>
    <w:rsid w:val="008C57CC"/>
    <w:rsid w:val="008C6B7B"/>
    <w:rsid w:val="008C7BEB"/>
    <w:rsid w:val="008D31FD"/>
    <w:rsid w:val="008D4003"/>
    <w:rsid w:val="008D4D37"/>
    <w:rsid w:val="008E250B"/>
    <w:rsid w:val="008E2DFA"/>
    <w:rsid w:val="008E55A4"/>
    <w:rsid w:val="008E6A0F"/>
    <w:rsid w:val="008E75DF"/>
    <w:rsid w:val="008E7DC9"/>
    <w:rsid w:val="008F0CBC"/>
    <w:rsid w:val="008F1F46"/>
    <w:rsid w:val="008F28DE"/>
    <w:rsid w:val="008F39E7"/>
    <w:rsid w:val="008F5B23"/>
    <w:rsid w:val="008F728B"/>
    <w:rsid w:val="008F7394"/>
    <w:rsid w:val="008F7562"/>
    <w:rsid w:val="00900480"/>
    <w:rsid w:val="0090079C"/>
    <w:rsid w:val="00902E4B"/>
    <w:rsid w:val="0090318E"/>
    <w:rsid w:val="00903E1F"/>
    <w:rsid w:val="00904397"/>
    <w:rsid w:val="00906DD5"/>
    <w:rsid w:val="0090739D"/>
    <w:rsid w:val="00911C99"/>
    <w:rsid w:val="009122B3"/>
    <w:rsid w:val="00912B58"/>
    <w:rsid w:val="00912BDA"/>
    <w:rsid w:val="009154CC"/>
    <w:rsid w:val="00917FDC"/>
    <w:rsid w:val="009214E0"/>
    <w:rsid w:val="009266CD"/>
    <w:rsid w:val="00933410"/>
    <w:rsid w:val="009358BA"/>
    <w:rsid w:val="00935E59"/>
    <w:rsid w:val="00936EBF"/>
    <w:rsid w:val="00937112"/>
    <w:rsid w:val="00940D95"/>
    <w:rsid w:val="0094155A"/>
    <w:rsid w:val="009459BF"/>
    <w:rsid w:val="00945D75"/>
    <w:rsid w:val="00946DD1"/>
    <w:rsid w:val="0095261E"/>
    <w:rsid w:val="009553CF"/>
    <w:rsid w:val="009567D5"/>
    <w:rsid w:val="009574D0"/>
    <w:rsid w:val="00957644"/>
    <w:rsid w:val="00961467"/>
    <w:rsid w:val="009620F6"/>
    <w:rsid w:val="00964384"/>
    <w:rsid w:val="009645EE"/>
    <w:rsid w:val="00971E88"/>
    <w:rsid w:val="009766F0"/>
    <w:rsid w:val="00977884"/>
    <w:rsid w:val="00986AF1"/>
    <w:rsid w:val="00987E0B"/>
    <w:rsid w:val="00990C11"/>
    <w:rsid w:val="009920DC"/>
    <w:rsid w:val="0099352E"/>
    <w:rsid w:val="00993E8D"/>
    <w:rsid w:val="0099471E"/>
    <w:rsid w:val="00996858"/>
    <w:rsid w:val="009A167C"/>
    <w:rsid w:val="009A27A1"/>
    <w:rsid w:val="009A487B"/>
    <w:rsid w:val="009A631D"/>
    <w:rsid w:val="009A7B88"/>
    <w:rsid w:val="009B11FA"/>
    <w:rsid w:val="009B2AA7"/>
    <w:rsid w:val="009B457C"/>
    <w:rsid w:val="009B6619"/>
    <w:rsid w:val="009C23E3"/>
    <w:rsid w:val="009C79CA"/>
    <w:rsid w:val="009D0DF4"/>
    <w:rsid w:val="009D1965"/>
    <w:rsid w:val="009D19D6"/>
    <w:rsid w:val="009D1C32"/>
    <w:rsid w:val="009D27D3"/>
    <w:rsid w:val="009D2BC2"/>
    <w:rsid w:val="009D47ED"/>
    <w:rsid w:val="009E0C8C"/>
    <w:rsid w:val="009E1175"/>
    <w:rsid w:val="009E28D9"/>
    <w:rsid w:val="009E31B1"/>
    <w:rsid w:val="009E3A4B"/>
    <w:rsid w:val="009E7505"/>
    <w:rsid w:val="009F178B"/>
    <w:rsid w:val="009F4F79"/>
    <w:rsid w:val="009F7E20"/>
    <w:rsid w:val="00A00CF4"/>
    <w:rsid w:val="00A04419"/>
    <w:rsid w:val="00A04749"/>
    <w:rsid w:val="00A055B5"/>
    <w:rsid w:val="00A0650C"/>
    <w:rsid w:val="00A137AE"/>
    <w:rsid w:val="00A13E63"/>
    <w:rsid w:val="00A1592D"/>
    <w:rsid w:val="00A1784B"/>
    <w:rsid w:val="00A20DD6"/>
    <w:rsid w:val="00A21B4C"/>
    <w:rsid w:val="00A323F2"/>
    <w:rsid w:val="00A33CB0"/>
    <w:rsid w:val="00A35DAD"/>
    <w:rsid w:val="00A365C6"/>
    <w:rsid w:val="00A371B0"/>
    <w:rsid w:val="00A37612"/>
    <w:rsid w:val="00A37E22"/>
    <w:rsid w:val="00A40F44"/>
    <w:rsid w:val="00A41AA4"/>
    <w:rsid w:val="00A42321"/>
    <w:rsid w:val="00A42991"/>
    <w:rsid w:val="00A45529"/>
    <w:rsid w:val="00A47345"/>
    <w:rsid w:val="00A50567"/>
    <w:rsid w:val="00A518C4"/>
    <w:rsid w:val="00A51B50"/>
    <w:rsid w:val="00A53CDB"/>
    <w:rsid w:val="00A55A7C"/>
    <w:rsid w:val="00A61131"/>
    <w:rsid w:val="00A6200E"/>
    <w:rsid w:val="00A623F4"/>
    <w:rsid w:val="00A62E0A"/>
    <w:rsid w:val="00A66395"/>
    <w:rsid w:val="00A66956"/>
    <w:rsid w:val="00A72514"/>
    <w:rsid w:val="00A810E7"/>
    <w:rsid w:val="00A81AF5"/>
    <w:rsid w:val="00A82E67"/>
    <w:rsid w:val="00A82F8C"/>
    <w:rsid w:val="00A87071"/>
    <w:rsid w:val="00A908FA"/>
    <w:rsid w:val="00A93780"/>
    <w:rsid w:val="00A94300"/>
    <w:rsid w:val="00A96DE7"/>
    <w:rsid w:val="00AA0090"/>
    <w:rsid w:val="00AA1877"/>
    <w:rsid w:val="00AA2F82"/>
    <w:rsid w:val="00AA4540"/>
    <w:rsid w:val="00AA55CD"/>
    <w:rsid w:val="00AA7108"/>
    <w:rsid w:val="00AB47F5"/>
    <w:rsid w:val="00AB5E5A"/>
    <w:rsid w:val="00AC05F9"/>
    <w:rsid w:val="00AC4E24"/>
    <w:rsid w:val="00AC5CCA"/>
    <w:rsid w:val="00AC79AA"/>
    <w:rsid w:val="00AD2A9D"/>
    <w:rsid w:val="00AD3D3E"/>
    <w:rsid w:val="00AD5D3D"/>
    <w:rsid w:val="00AD788C"/>
    <w:rsid w:val="00AD7D78"/>
    <w:rsid w:val="00AE03CD"/>
    <w:rsid w:val="00AE35F8"/>
    <w:rsid w:val="00AE4347"/>
    <w:rsid w:val="00AE484B"/>
    <w:rsid w:val="00AE5071"/>
    <w:rsid w:val="00AE5776"/>
    <w:rsid w:val="00AE61E3"/>
    <w:rsid w:val="00AF00EC"/>
    <w:rsid w:val="00AF1EE6"/>
    <w:rsid w:val="00AF4954"/>
    <w:rsid w:val="00AF66BD"/>
    <w:rsid w:val="00AF795F"/>
    <w:rsid w:val="00AF7C64"/>
    <w:rsid w:val="00B025B8"/>
    <w:rsid w:val="00B03EB3"/>
    <w:rsid w:val="00B0496E"/>
    <w:rsid w:val="00B05E69"/>
    <w:rsid w:val="00B06EC7"/>
    <w:rsid w:val="00B10816"/>
    <w:rsid w:val="00B11474"/>
    <w:rsid w:val="00B14351"/>
    <w:rsid w:val="00B152D6"/>
    <w:rsid w:val="00B17F49"/>
    <w:rsid w:val="00B22623"/>
    <w:rsid w:val="00B23422"/>
    <w:rsid w:val="00B23F62"/>
    <w:rsid w:val="00B24622"/>
    <w:rsid w:val="00B2688F"/>
    <w:rsid w:val="00B301DD"/>
    <w:rsid w:val="00B3050C"/>
    <w:rsid w:val="00B3408E"/>
    <w:rsid w:val="00B3636C"/>
    <w:rsid w:val="00B37A3E"/>
    <w:rsid w:val="00B40329"/>
    <w:rsid w:val="00B409C9"/>
    <w:rsid w:val="00B413AD"/>
    <w:rsid w:val="00B45934"/>
    <w:rsid w:val="00B46078"/>
    <w:rsid w:val="00B462BA"/>
    <w:rsid w:val="00B47E98"/>
    <w:rsid w:val="00B50D0B"/>
    <w:rsid w:val="00B5332F"/>
    <w:rsid w:val="00B54D45"/>
    <w:rsid w:val="00B57B83"/>
    <w:rsid w:val="00B60900"/>
    <w:rsid w:val="00B61183"/>
    <w:rsid w:val="00B63809"/>
    <w:rsid w:val="00B64C28"/>
    <w:rsid w:val="00B64F79"/>
    <w:rsid w:val="00B64F90"/>
    <w:rsid w:val="00B65868"/>
    <w:rsid w:val="00B66A37"/>
    <w:rsid w:val="00B66B92"/>
    <w:rsid w:val="00B66C7F"/>
    <w:rsid w:val="00B7519A"/>
    <w:rsid w:val="00B760CB"/>
    <w:rsid w:val="00B8292E"/>
    <w:rsid w:val="00B82A14"/>
    <w:rsid w:val="00B85BB8"/>
    <w:rsid w:val="00B868EC"/>
    <w:rsid w:val="00B932D7"/>
    <w:rsid w:val="00B936BA"/>
    <w:rsid w:val="00B97AA2"/>
    <w:rsid w:val="00BA0EC9"/>
    <w:rsid w:val="00BA1A08"/>
    <w:rsid w:val="00BA21F2"/>
    <w:rsid w:val="00BA74E8"/>
    <w:rsid w:val="00BA77D2"/>
    <w:rsid w:val="00BA7F18"/>
    <w:rsid w:val="00BB1B84"/>
    <w:rsid w:val="00BB3173"/>
    <w:rsid w:val="00BB650C"/>
    <w:rsid w:val="00BC015C"/>
    <w:rsid w:val="00BC097D"/>
    <w:rsid w:val="00BC35DF"/>
    <w:rsid w:val="00BC6129"/>
    <w:rsid w:val="00BC63F2"/>
    <w:rsid w:val="00BC6C5B"/>
    <w:rsid w:val="00BD1E7C"/>
    <w:rsid w:val="00BD34D7"/>
    <w:rsid w:val="00BD6661"/>
    <w:rsid w:val="00BE0119"/>
    <w:rsid w:val="00BE05B8"/>
    <w:rsid w:val="00BE1E1F"/>
    <w:rsid w:val="00BE5238"/>
    <w:rsid w:val="00BE524B"/>
    <w:rsid w:val="00BE5D9F"/>
    <w:rsid w:val="00BF1674"/>
    <w:rsid w:val="00BF229E"/>
    <w:rsid w:val="00BF3929"/>
    <w:rsid w:val="00BF52DD"/>
    <w:rsid w:val="00BF5735"/>
    <w:rsid w:val="00BF65E9"/>
    <w:rsid w:val="00BF6726"/>
    <w:rsid w:val="00BF7B20"/>
    <w:rsid w:val="00BF7E13"/>
    <w:rsid w:val="00C009B8"/>
    <w:rsid w:val="00C02347"/>
    <w:rsid w:val="00C0375E"/>
    <w:rsid w:val="00C05D26"/>
    <w:rsid w:val="00C1077A"/>
    <w:rsid w:val="00C1171A"/>
    <w:rsid w:val="00C14225"/>
    <w:rsid w:val="00C167BF"/>
    <w:rsid w:val="00C17854"/>
    <w:rsid w:val="00C17B2D"/>
    <w:rsid w:val="00C23369"/>
    <w:rsid w:val="00C237DF"/>
    <w:rsid w:val="00C23BE1"/>
    <w:rsid w:val="00C256BC"/>
    <w:rsid w:val="00C2608E"/>
    <w:rsid w:val="00C315C5"/>
    <w:rsid w:val="00C318D0"/>
    <w:rsid w:val="00C323E1"/>
    <w:rsid w:val="00C327FD"/>
    <w:rsid w:val="00C3448E"/>
    <w:rsid w:val="00C358D1"/>
    <w:rsid w:val="00C4397F"/>
    <w:rsid w:val="00C449C6"/>
    <w:rsid w:val="00C52395"/>
    <w:rsid w:val="00C53A18"/>
    <w:rsid w:val="00C54165"/>
    <w:rsid w:val="00C57AE0"/>
    <w:rsid w:val="00C60D73"/>
    <w:rsid w:val="00C61D6C"/>
    <w:rsid w:val="00C62B76"/>
    <w:rsid w:val="00C62C1F"/>
    <w:rsid w:val="00C645AB"/>
    <w:rsid w:val="00C73438"/>
    <w:rsid w:val="00C77B3E"/>
    <w:rsid w:val="00C81E60"/>
    <w:rsid w:val="00C85CDD"/>
    <w:rsid w:val="00C86A35"/>
    <w:rsid w:val="00C90B17"/>
    <w:rsid w:val="00C955C6"/>
    <w:rsid w:val="00C95EE8"/>
    <w:rsid w:val="00CA007F"/>
    <w:rsid w:val="00CA09DD"/>
    <w:rsid w:val="00CA0D63"/>
    <w:rsid w:val="00CA1521"/>
    <w:rsid w:val="00CA1E47"/>
    <w:rsid w:val="00CA27BE"/>
    <w:rsid w:val="00CA2AE6"/>
    <w:rsid w:val="00CA347C"/>
    <w:rsid w:val="00CA37D3"/>
    <w:rsid w:val="00CA4B0D"/>
    <w:rsid w:val="00CB0B6A"/>
    <w:rsid w:val="00CB2995"/>
    <w:rsid w:val="00CB29E8"/>
    <w:rsid w:val="00CB4573"/>
    <w:rsid w:val="00CC0B70"/>
    <w:rsid w:val="00CC0F36"/>
    <w:rsid w:val="00CC13C7"/>
    <w:rsid w:val="00CC4C24"/>
    <w:rsid w:val="00CC6D16"/>
    <w:rsid w:val="00CD2C43"/>
    <w:rsid w:val="00CD30B9"/>
    <w:rsid w:val="00CD4AF3"/>
    <w:rsid w:val="00CD4FC4"/>
    <w:rsid w:val="00CD615F"/>
    <w:rsid w:val="00CE43CD"/>
    <w:rsid w:val="00CE6398"/>
    <w:rsid w:val="00CF120A"/>
    <w:rsid w:val="00CF3C36"/>
    <w:rsid w:val="00CF3DEB"/>
    <w:rsid w:val="00CF4B11"/>
    <w:rsid w:val="00CF667E"/>
    <w:rsid w:val="00CF69F1"/>
    <w:rsid w:val="00D05385"/>
    <w:rsid w:val="00D06995"/>
    <w:rsid w:val="00D06B44"/>
    <w:rsid w:val="00D06B6F"/>
    <w:rsid w:val="00D0733C"/>
    <w:rsid w:val="00D07C16"/>
    <w:rsid w:val="00D11604"/>
    <w:rsid w:val="00D122C7"/>
    <w:rsid w:val="00D16941"/>
    <w:rsid w:val="00D16984"/>
    <w:rsid w:val="00D17BEB"/>
    <w:rsid w:val="00D17D7D"/>
    <w:rsid w:val="00D20F9B"/>
    <w:rsid w:val="00D21FF0"/>
    <w:rsid w:val="00D22635"/>
    <w:rsid w:val="00D23E72"/>
    <w:rsid w:val="00D275FB"/>
    <w:rsid w:val="00D3207C"/>
    <w:rsid w:val="00D33764"/>
    <w:rsid w:val="00D37EEC"/>
    <w:rsid w:val="00D50E09"/>
    <w:rsid w:val="00D51B87"/>
    <w:rsid w:val="00D51D20"/>
    <w:rsid w:val="00D5311F"/>
    <w:rsid w:val="00D5465F"/>
    <w:rsid w:val="00D57139"/>
    <w:rsid w:val="00D57767"/>
    <w:rsid w:val="00D6118E"/>
    <w:rsid w:val="00D64CB8"/>
    <w:rsid w:val="00D66F67"/>
    <w:rsid w:val="00D70D99"/>
    <w:rsid w:val="00D72C96"/>
    <w:rsid w:val="00D7527F"/>
    <w:rsid w:val="00D774BC"/>
    <w:rsid w:val="00D80605"/>
    <w:rsid w:val="00D81977"/>
    <w:rsid w:val="00D82F28"/>
    <w:rsid w:val="00D85304"/>
    <w:rsid w:val="00D86508"/>
    <w:rsid w:val="00D8672B"/>
    <w:rsid w:val="00D86CB8"/>
    <w:rsid w:val="00D90B5F"/>
    <w:rsid w:val="00D92E0A"/>
    <w:rsid w:val="00D94EB7"/>
    <w:rsid w:val="00D97D30"/>
    <w:rsid w:val="00DA1314"/>
    <w:rsid w:val="00DA1D97"/>
    <w:rsid w:val="00DA33B6"/>
    <w:rsid w:val="00DA4240"/>
    <w:rsid w:val="00DA481C"/>
    <w:rsid w:val="00DA5405"/>
    <w:rsid w:val="00DA6292"/>
    <w:rsid w:val="00DB4C29"/>
    <w:rsid w:val="00DB697A"/>
    <w:rsid w:val="00DB6AC2"/>
    <w:rsid w:val="00DC13ED"/>
    <w:rsid w:val="00DC76A2"/>
    <w:rsid w:val="00DC78C4"/>
    <w:rsid w:val="00DC7978"/>
    <w:rsid w:val="00DD04E6"/>
    <w:rsid w:val="00DD10FC"/>
    <w:rsid w:val="00DD1DB1"/>
    <w:rsid w:val="00DD2C65"/>
    <w:rsid w:val="00DD2C95"/>
    <w:rsid w:val="00DD5F3F"/>
    <w:rsid w:val="00DD63A6"/>
    <w:rsid w:val="00DE374D"/>
    <w:rsid w:val="00DE4AC7"/>
    <w:rsid w:val="00DE511D"/>
    <w:rsid w:val="00DE5AE1"/>
    <w:rsid w:val="00DF0879"/>
    <w:rsid w:val="00DF142B"/>
    <w:rsid w:val="00DF1966"/>
    <w:rsid w:val="00DF1F2A"/>
    <w:rsid w:val="00DF680B"/>
    <w:rsid w:val="00E016F0"/>
    <w:rsid w:val="00E02F5A"/>
    <w:rsid w:val="00E03555"/>
    <w:rsid w:val="00E046A5"/>
    <w:rsid w:val="00E0569C"/>
    <w:rsid w:val="00E05C97"/>
    <w:rsid w:val="00E0648B"/>
    <w:rsid w:val="00E06F19"/>
    <w:rsid w:val="00E10303"/>
    <w:rsid w:val="00E13C97"/>
    <w:rsid w:val="00E149ED"/>
    <w:rsid w:val="00E14DBB"/>
    <w:rsid w:val="00E14E4E"/>
    <w:rsid w:val="00E232C3"/>
    <w:rsid w:val="00E235C6"/>
    <w:rsid w:val="00E235F1"/>
    <w:rsid w:val="00E250F2"/>
    <w:rsid w:val="00E255D7"/>
    <w:rsid w:val="00E25EB1"/>
    <w:rsid w:val="00E2715D"/>
    <w:rsid w:val="00E27C64"/>
    <w:rsid w:val="00E30507"/>
    <w:rsid w:val="00E3235D"/>
    <w:rsid w:val="00E331F3"/>
    <w:rsid w:val="00E3383B"/>
    <w:rsid w:val="00E33D5F"/>
    <w:rsid w:val="00E33EE6"/>
    <w:rsid w:val="00E358C8"/>
    <w:rsid w:val="00E3645F"/>
    <w:rsid w:val="00E37AEB"/>
    <w:rsid w:val="00E420E5"/>
    <w:rsid w:val="00E42E8A"/>
    <w:rsid w:val="00E43E00"/>
    <w:rsid w:val="00E45E9D"/>
    <w:rsid w:val="00E47666"/>
    <w:rsid w:val="00E50DAF"/>
    <w:rsid w:val="00E52BA5"/>
    <w:rsid w:val="00E6066E"/>
    <w:rsid w:val="00E60998"/>
    <w:rsid w:val="00E60EEC"/>
    <w:rsid w:val="00E62396"/>
    <w:rsid w:val="00E63AA6"/>
    <w:rsid w:val="00E63FB3"/>
    <w:rsid w:val="00E64A0A"/>
    <w:rsid w:val="00E668ED"/>
    <w:rsid w:val="00E67780"/>
    <w:rsid w:val="00E705D1"/>
    <w:rsid w:val="00E71113"/>
    <w:rsid w:val="00E7313C"/>
    <w:rsid w:val="00E7495C"/>
    <w:rsid w:val="00E751C9"/>
    <w:rsid w:val="00E7520B"/>
    <w:rsid w:val="00E769D0"/>
    <w:rsid w:val="00E8028A"/>
    <w:rsid w:val="00E81242"/>
    <w:rsid w:val="00E82383"/>
    <w:rsid w:val="00E8304F"/>
    <w:rsid w:val="00E83873"/>
    <w:rsid w:val="00E841DB"/>
    <w:rsid w:val="00E8741F"/>
    <w:rsid w:val="00E87A83"/>
    <w:rsid w:val="00E87D5C"/>
    <w:rsid w:val="00E90832"/>
    <w:rsid w:val="00E90DF4"/>
    <w:rsid w:val="00E92208"/>
    <w:rsid w:val="00E9367D"/>
    <w:rsid w:val="00E93F28"/>
    <w:rsid w:val="00E95221"/>
    <w:rsid w:val="00E958CC"/>
    <w:rsid w:val="00E95C89"/>
    <w:rsid w:val="00E966B1"/>
    <w:rsid w:val="00EA2B2B"/>
    <w:rsid w:val="00EB111B"/>
    <w:rsid w:val="00EB7B35"/>
    <w:rsid w:val="00EB7DA2"/>
    <w:rsid w:val="00EB7ECF"/>
    <w:rsid w:val="00EC1953"/>
    <w:rsid w:val="00EC19B6"/>
    <w:rsid w:val="00EC350A"/>
    <w:rsid w:val="00EC3C63"/>
    <w:rsid w:val="00EC3FE9"/>
    <w:rsid w:val="00EC42F6"/>
    <w:rsid w:val="00EC49A2"/>
    <w:rsid w:val="00EC5514"/>
    <w:rsid w:val="00EC6F59"/>
    <w:rsid w:val="00ED3096"/>
    <w:rsid w:val="00ED31DB"/>
    <w:rsid w:val="00ED4BE5"/>
    <w:rsid w:val="00ED7BE7"/>
    <w:rsid w:val="00EE0231"/>
    <w:rsid w:val="00EE1321"/>
    <w:rsid w:val="00EE3699"/>
    <w:rsid w:val="00EE6573"/>
    <w:rsid w:val="00EF0279"/>
    <w:rsid w:val="00EF051A"/>
    <w:rsid w:val="00EF4898"/>
    <w:rsid w:val="00EF5C29"/>
    <w:rsid w:val="00EF6558"/>
    <w:rsid w:val="00EF7DB4"/>
    <w:rsid w:val="00F0099D"/>
    <w:rsid w:val="00F02508"/>
    <w:rsid w:val="00F02971"/>
    <w:rsid w:val="00F1016E"/>
    <w:rsid w:val="00F11ED1"/>
    <w:rsid w:val="00F126A6"/>
    <w:rsid w:val="00F13E4B"/>
    <w:rsid w:val="00F16773"/>
    <w:rsid w:val="00F16AA7"/>
    <w:rsid w:val="00F20BFD"/>
    <w:rsid w:val="00F22DB9"/>
    <w:rsid w:val="00F23679"/>
    <w:rsid w:val="00F242FE"/>
    <w:rsid w:val="00F24A0F"/>
    <w:rsid w:val="00F30670"/>
    <w:rsid w:val="00F32664"/>
    <w:rsid w:val="00F35714"/>
    <w:rsid w:val="00F377BA"/>
    <w:rsid w:val="00F40B5B"/>
    <w:rsid w:val="00F42036"/>
    <w:rsid w:val="00F449AB"/>
    <w:rsid w:val="00F46410"/>
    <w:rsid w:val="00F50248"/>
    <w:rsid w:val="00F52AD9"/>
    <w:rsid w:val="00F538D6"/>
    <w:rsid w:val="00F539FA"/>
    <w:rsid w:val="00F56339"/>
    <w:rsid w:val="00F56BAD"/>
    <w:rsid w:val="00F64A0E"/>
    <w:rsid w:val="00F6549B"/>
    <w:rsid w:val="00F66B12"/>
    <w:rsid w:val="00F74679"/>
    <w:rsid w:val="00F75CA6"/>
    <w:rsid w:val="00F84432"/>
    <w:rsid w:val="00F859CD"/>
    <w:rsid w:val="00F901E2"/>
    <w:rsid w:val="00F95839"/>
    <w:rsid w:val="00F964D0"/>
    <w:rsid w:val="00FA0B36"/>
    <w:rsid w:val="00FA3C94"/>
    <w:rsid w:val="00FA6318"/>
    <w:rsid w:val="00FB088D"/>
    <w:rsid w:val="00FB1155"/>
    <w:rsid w:val="00FB23BA"/>
    <w:rsid w:val="00FB24E5"/>
    <w:rsid w:val="00FB31E3"/>
    <w:rsid w:val="00FB3D93"/>
    <w:rsid w:val="00FB44AC"/>
    <w:rsid w:val="00FB64E8"/>
    <w:rsid w:val="00FB7059"/>
    <w:rsid w:val="00FC219A"/>
    <w:rsid w:val="00FC6740"/>
    <w:rsid w:val="00FC6B5C"/>
    <w:rsid w:val="00FD31C2"/>
    <w:rsid w:val="00FD3E5A"/>
    <w:rsid w:val="00FD3EB8"/>
    <w:rsid w:val="00FD50B9"/>
    <w:rsid w:val="00FE11A4"/>
    <w:rsid w:val="00FE1E6A"/>
    <w:rsid w:val="00FE68AA"/>
    <w:rsid w:val="00FE7D1F"/>
    <w:rsid w:val="00FF3260"/>
    <w:rsid w:val="00FF665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uiPriority="0"/>
    <w:lsdException w:name="HTML Preformatted"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242"/>
    <w:pPr>
      <w:spacing w:after="200" w:line="276" w:lineRule="auto"/>
    </w:pPr>
    <w:rPr>
      <w:rFonts w:cs="Calibri"/>
      <w:lang w:eastAsia="en-US"/>
    </w:rPr>
  </w:style>
  <w:style w:type="paragraph" w:styleId="8">
    <w:name w:val="heading 8"/>
    <w:basedOn w:val="a"/>
    <w:next w:val="a"/>
    <w:link w:val="8Char"/>
    <w:uiPriority w:val="99"/>
    <w:qFormat/>
    <w:rsid w:val="007703B9"/>
    <w:pPr>
      <w:spacing w:before="240" w:after="60" w:line="240" w:lineRule="auto"/>
      <w:outlineLvl w:val="7"/>
    </w:pPr>
    <w:rPr>
      <w:rFonts w:ascii="Times New Roman" w:hAnsi="Times New Roman" w:cs="Times New Roman"/>
      <w:i/>
      <w:i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9"/>
    <w:locked/>
    <w:rsid w:val="007703B9"/>
    <w:rPr>
      <w:rFonts w:ascii="Times New Roman" w:hAnsi="Times New Roman"/>
      <w:i/>
      <w:sz w:val="24"/>
      <w:lang w:eastAsia="el-GR"/>
    </w:rPr>
  </w:style>
  <w:style w:type="character" w:styleId="-">
    <w:name w:val="Hyperlink"/>
    <w:basedOn w:val="a0"/>
    <w:uiPriority w:val="99"/>
    <w:rsid w:val="00E81242"/>
    <w:rPr>
      <w:rFonts w:cs="Times New Roman"/>
      <w:color w:val="0000FF"/>
      <w:u w:val="single"/>
    </w:rPr>
  </w:style>
  <w:style w:type="paragraph" w:styleId="a3">
    <w:name w:val="List Paragraph"/>
    <w:basedOn w:val="a"/>
    <w:uiPriority w:val="34"/>
    <w:qFormat/>
    <w:rsid w:val="00E81242"/>
    <w:pPr>
      <w:ind w:left="720"/>
    </w:pPr>
  </w:style>
  <w:style w:type="paragraph" w:styleId="a4">
    <w:name w:val="Balloon Text"/>
    <w:basedOn w:val="a"/>
    <w:link w:val="Char"/>
    <w:uiPriority w:val="99"/>
    <w:semiHidden/>
    <w:rsid w:val="00E81242"/>
    <w:pPr>
      <w:spacing w:after="0" w:line="240" w:lineRule="auto"/>
    </w:pPr>
    <w:rPr>
      <w:rFonts w:ascii="Tahoma" w:hAnsi="Tahoma" w:cs="Times New Roman"/>
      <w:sz w:val="16"/>
      <w:szCs w:val="16"/>
      <w:lang w:eastAsia="el-GR"/>
    </w:rPr>
  </w:style>
  <w:style w:type="character" w:customStyle="1" w:styleId="Char">
    <w:name w:val="Κείμενο πλαισίου Char"/>
    <w:basedOn w:val="a0"/>
    <w:link w:val="a4"/>
    <w:uiPriority w:val="99"/>
    <w:semiHidden/>
    <w:locked/>
    <w:rsid w:val="00E81242"/>
    <w:rPr>
      <w:rFonts w:ascii="Tahoma" w:hAnsi="Tahoma"/>
      <w:sz w:val="16"/>
    </w:rPr>
  </w:style>
  <w:style w:type="paragraph" w:styleId="a5">
    <w:name w:val="header"/>
    <w:basedOn w:val="a"/>
    <w:link w:val="Char0"/>
    <w:uiPriority w:val="99"/>
    <w:rsid w:val="00A37E22"/>
    <w:pPr>
      <w:tabs>
        <w:tab w:val="center" w:pos="4153"/>
        <w:tab w:val="right" w:pos="8306"/>
      </w:tabs>
      <w:spacing w:after="0" w:line="240" w:lineRule="auto"/>
    </w:pPr>
  </w:style>
  <w:style w:type="character" w:customStyle="1" w:styleId="Char0">
    <w:name w:val="Κεφαλίδα Char"/>
    <w:basedOn w:val="a0"/>
    <w:link w:val="a5"/>
    <w:uiPriority w:val="99"/>
    <w:locked/>
    <w:rsid w:val="00A37E22"/>
    <w:rPr>
      <w:rFonts w:cs="Times New Roman"/>
    </w:rPr>
  </w:style>
  <w:style w:type="paragraph" w:styleId="a6">
    <w:name w:val="footer"/>
    <w:basedOn w:val="a"/>
    <w:link w:val="Char1"/>
    <w:uiPriority w:val="99"/>
    <w:rsid w:val="00A37E22"/>
    <w:pPr>
      <w:tabs>
        <w:tab w:val="center" w:pos="4153"/>
        <w:tab w:val="right" w:pos="8306"/>
      </w:tabs>
      <w:spacing w:after="0" w:line="240" w:lineRule="auto"/>
    </w:pPr>
  </w:style>
  <w:style w:type="character" w:customStyle="1" w:styleId="Char1">
    <w:name w:val="Υποσέλιδο Char"/>
    <w:basedOn w:val="a0"/>
    <w:link w:val="a6"/>
    <w:uiPriority w:val="99"/>
    <w:locked/>
    <w:rsid w:val="00A37E22"/>
    <w:rPr>
      <w:rFonts w:cs="Times New Roman"/>
    </w:rPr>
  </w:style>
  <w:style w:type="table" w:styleId="a7">
    <w:name w:val="Table Grid"/>
    <w:basedOn w:val="a1"/>
    <w:uiPriority w:val="39"/>
    <w:rsid w:val="0060655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laceholder Text"/>
    <w:basedOn w:val="a0"/>
    <w:uiPriority w:val="99"/>
    <w:semiHidden/>
    <w:rsid w:val="006137B2"/>
    <w:rPr>
      <w:color w:val="808080"/>
    </w:rPr>
  </w:style>
  <w:style w:type="paragraph" w:styleId="a9">
    <w:name w:val="Body Text"/>
    <w:basedOn w:val="a"/>
    <w:link w:val="Char2"/>
    <w:uiPriority w:val="99"/>
    <w:rsid w:val="005802F2"/>
    <w:pPr>
      <w:spacing w:after="0" w:line="240" w:lineRule="auto"/>
      <w:jc w:val="both"/>
    </w:pPr>
    <w:rPr>
      <w:rFonts w:ascii="Arial" w:hAnsi="Arial" w:cs="Times New Roman"/>
      <w:sz w:val="24"/>
      <w:szCs w:val="24"/>
      <w:lang w:eastAsia="el-GR"/>
    </w:rPr>
  </w:style>
  <w:style w:type="character" w:customStyle="1" w:styleId="Char2">
    <w:name w:val="Σώμα κειμένου Char"/>
    <w:basedOn w:val="a0"/>
    <w:link w:val="a9"/>
    <w:uiPriority w:val="99"/>
    <w:locked/>
    <w:rsid w:val="005802F2"/>
    <w:rPr>
      <w:rFonts w:ascii="Arial" w:hAnsi="Arial"/>
      <w:sz w:val="24"/>
      <w:lang w:eastAsia="el-GR"/>
    </w:rPr>
  </w:style>
  <w:style w:type="paragraph" w:styleId="aa">
    <w:name w:val="footnote text"/>
    <w:basedOn w:val="a"/>
    <w:link w:val="Char3"/>
    <w:uiPriority w:val="99"/>
    <w:semiHidden/>
    <w:rsid w:val="005802F2"/>
    <w:pPr>
      <w:spacing w:after="0" w:line="240" w:lineRule="auto"/>
    </w:pPr>
    <w:rPr>
      <w:rFonts w:cs="Times New Roman"/>
      <w:sz w:val="20"/>
      <w:szCs w:val="20"/>
      <w:lang w:eastAsia="el-GR"/>
    </w:rPr>
  </w:style>
  <w:style w:type="character" w:customStyle="1" w:styleId="Char3">
    <w:name w:val="Κείμενο υποσημείωσης Char"/>
    <w:basedOn w:val="a0"/>
    <w:link w:val="aa"/>
    <w:uiPriority w:val="99"/>
    <w:locked/>
    <w:rsid w:val="005802F2"/>
    <w:rPr>
      <w:sz w:val="20"/>
    </w:rPr>
  </w:style>
  <w:style w:type="character" w:styleId="ab">
    <w:name w:val="Strong"/>
    <w:basedOn w:val="a0"/>
    <w:uiPriority w:val="22"/>
    <w:qFormat/>
    <w:rsid w:val="002A1B66"/>
    <w:rPr>
      <w:rFonts w:cs="Times New Roman"/>
      <w:b/>
    </w:rPr>
  </w:style>
  <w:style w:type="character" w:customStyle="1" w:styleId="HTMLPreformattedChar">
    <w:name w:val="HTML Preformatted Char"/>
    <w:uiPriority w:val="99"/>
    <w:locked/>
    <w:rsid w:val="005933B0"/>
    <w:rPr>
      <w:rFonts w:ascii="Consolas" w:hAnsi="Consolas"/>
    </w:rPr>
  </w:style>
  <w:style w:type="paragraph" w:styleId="-HTML">
    <w:name w:val="HTML Preformatted"/>
    <w:basedOn w:val="a"/>
    <w:link w:val="-HTMLChar"/>
    <w:uiPriority w:val="99"/>
    <w:rsid w:val="005933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Char">
    <w:name w:val="Προ-διαμορφωμένο HTML Char"/>
    <w:basedOn w:val="a0"/>
    <w:link w:val="-HTML"/>
    <w:uiPriority w:val="99"/>
    <w:semiHidden/>
    <w:locked/>
    <w:rsid w:val="00D22635"/>
    <w:rPr>
      <w:rFonts w:ascii="Courier New" w:hAnsi="Courier New"/>
      <w:sz w:val="20"/>
      <w:lang w:eastAsia="en-US"/>
    </w:rPr>
  </w:style>
  <w:style w:type="character" w:customStyle="1" w:styleId="-HTMLChar1">
    <w:name w:val="Προ-διαμορφωμένο HTML Char1"/>
    <w:uiPriority w:val="99"/>
    <w:semiHidden/>
    <w:rsid w:val="005933B0"/>
    <w:rPr>
      <w:rFonts w:ascii="Consolas" w:hAnsi="Consolas"/>
      <w:sz w:val="20"/>
    </w:rPr>
  </w:style>
  <w:style w:type="character" w:customStyle="1" w:styleId="apple-converted-space">
    <w:name w:val="apple-converted-space"/>
    <w:basedOn w:val="a0"/>
    <w:uiPriority w:val="99"/>
    <w:rsid w:val="00CA0D63"/>
    <w:rPr>
      <w:rFonts w:cs="Times New Roman"/>
    </w:rPr>
  </w:style>
  <w:style w:type="character" w:customStyle="1" w:styleId="fontstyle13">
    <w:name w:val="fontstyle13"/>
    <w:basedOn w:val="a0"/>
    <w:uiPriority w:val="99"/>
    <w:rsid w:val="00454A25"/>
    <w:rPr>
      <w:rFonts w:cs="Times New Roman"/>
    </w:rPr>
  </w:style>
  <w:style w:type="paragraph" w:styleId="Web">
    <w:name w:val="Normal (Web)"/>
    <w:basedOn w:val="a"/>
    <w:rsid w:val="00B025B8"/>
    <w:pPr>
      <w:spacing w:after="0" w:line="240" w:lineRule="auto"/>
    </w:pPr>
    <w:rPr>
      <w:sz w:val="24"/>
      <w:szCs w:val="24"/>
      <w:lang w:eastAsia="el-GR"/>
    </w:rPr>
  </w:style>
  <w:style w:type="character" w:customStyle="1" w:styleId="Bodytext2">
    <w:name w:val="Body text (2)"/>
    <w:uiPriority w:val="99"/>
    <w:rsid w:val="00DF0879"/>
    <w:rPr>
      <w:rFonts w:ascii="Calibri" w:hAnsi="Calibri"/>
      <w:spacing w:val="0"/>
      <w:u w:val="none"/>
      <w:effect w:val="none"/>
    </w:rPr>
  </w:style>
  <w:style w:type="character" w:styleId="ac">
    <w:name w:val="Emphasis"/>
    <w:basedOn w:val="a0"/>
    <w:uiPriority w:val="99"/>
    <w:qFormat/>
    <w:rsid w:val="00AE61E3"/>
    <w:rPr>
      <w:rFonts w:cs="Times New Roman"/>
      <w:i/>
    </w:rPr>
  </w:style>
  <w:style w:type="character" w:styleId="ad">
    <w:name w:val="footnote reference"/>
    <w:basedOn w:val="a0"/>
    <w:uiPriority w:val="99"/>
    <w:semiHidden/>
    <w:rsid w:val="00645CB9"/>
    <w:rPr>
      <w:rFonts w:cs="Times New Roman"/>
      <w:vertAlign w:val="superscript"/>
    </w:rPr>
  </w:style>
  <w:style w:type="paragraph" w:customStyle="1" w:styleId="1">
    <w:name w:val="Χωρίς διάστιχο1"/>
    <w:uiPriority w:val="1"/>
    <w:qFormat/>
    <w:rsid w:val="00754901"/>
    <w:rPr>
      <w:lang w:eastAsia="en-US"/>
    </w:rPr>
  </w:style>
  <w:style w:type="paragraph" w:styleId="ae">
    <w:name w:val="No Spacing"/>
    <w:uiPriority w:val="1"/>
    <w:qFormat/>
    <w:rsid w:val="003703E5"/>
    <w:rPr>
      <w:lang w:eastAsia="en-US"/>
    </w:rPr>
  </w:style>
  <w:style w:type="paragraph" w:styleId="af">
    <w:name w:val="Plain Text"/>
    <w:basedOn w:val="a"/>
    <w:link w:val="Char4"/>
    <w:uiPriority w:val="99"/>
    <w:semiHidden/>
    <w:unhideWhenUsed/>
    <w:rsid w:val="006211E5"/>
    <w:pPr>
      <w:spacing w:after="0" w:line="240" w:lineRule="auto"/>
    </w:pPr>
    <w:rPr>
      <w:rFonts w:ascii="Consolas" w:eastAsiaTheme="minorHAnsi" w:hAnsi="Consolas" w:cstheme="minorBidi"/>
      <w:sz w:val="21"/>
      <w:szCs w:val="21"/>
    </w:rPr>
  </w:style>
  <w:style w:type="character" w:customStyle="1" w:styleId="Char4">
    <w:name w:val="Απλό κείμενο Char"/>
    <w:basedOn w:val="a0"/>
    <w:link w:val="af"/>
    <w:uiPriority w:val="99"/>
    <w:semiHidden/>
    <w:rsid w:val="006211E5"/>
    <w:rPr>
      <w:rFonts w:ascii="Consolas" w:eastAsiaTheme="minorHAnsi" w:hAnsi="Consolas" w:cstheme="minorBidi"/>
      <w:sz w:val="21"/>
      <w:szCs w:val="21"/>
      <w:lang w:eastAsia="en-US"/>
    </w:rPr>
  </w:style>
  <w:style w:type="paragraph" w:customStyle="1" w:styleId="Default">
    <w:name w:val="Default"/>
    <w:rsid w:val="000A5794"/>
    <w:pPr>
      <w:autoSpaceDE w:val="0"/>
      <w:autoSpaceDN w:val="0"/>
      <w:adjustRightInd w:val="0"/>
    </w:pPr>
    <w:rPr>
      <w:rFonts w:ascii="Times New Roman" w:eastAsiaTheme="minorHAnsi" w:hAnsi="Times New Roman"/>
      <w:color w:val="000000"/>
      <w:sz w:val="24"/>
      <w:szCs w:val="24"/>
      <w:lang w:eastAsia="en-US"/>
    </w:rPr>
  </w:style>
  <w:style w:type="paragraph" w:customStyle="1" w:styleId="2">
    <w:name w:val="Χωρίς διάστιχο2"/>
    <w:qFormat/>
    <w:rsid w:val="00841A13"/>
    <w:rPr>
      <w:lang w:eastAsia="en-US"/>
    </w:rPr>
  </w:style>
</w:styles>
</file>

<file path=word/webSettings.xml><?xml version="1.0" encoding="utf-8"?>
<w:webSettings xmlns:r="http://schemas.openxmlformats.org/officeDocument/2006/relationships" xmlns:w="http://schemas.openxmlformats.org/wordprocessingml/2006/main">
  <w:divs>
    <w:div w:id="550307291">
      <w:bodyDiv w:val="1"/>
      <w:marLeft w:val="0"/>
      <w:marRight w:val="0"/>
      <w:marTop w:val="0"/>
      <w:marBottom w:val="0"/>
      <w:divBdr>
        <w:top w:val="none" w:sz="0" w:space="0" w:color="auto"/>
        <w:left w:val="none" w:sz="0" w:space="0" w:color="auto"/>
        <w:bottom w:val="none" w:sz="0" w:space="0" w:color="auto"/>
        <w:right w:val="none" w:sz="0" w:space="0" w:color="auto"/>
      </w:divBdr>
    </w:div>
    <w:div w:id="638802526">
      <w:bodyDiv w:val="1"/>
      <w:marLeft w:val="0"/>
      <w:marRight w:val="0"/>
      <w:marTop w:val="0"/>
      <w:marBottom w:val="0"/>
      <w:divBdr>
        <w:top w:val="none" w:sz="0" w:space="0" w:color="auto"/>
        <w:left w:val="none" w:sz="0" w:space="0" w:color="auto"/>
        <w:bottom w:val="none" w:sz="0" w:space="0" w:color="auto"/>
        <w:right w:val="none" w:sz="0" w:space="0" w:color="auto"/>
      </w:divBdr>
    </w:div>
    <w:div w:id="929243476">
      <w:bodyDiv w:val="1"/>
      <w:marLeft w:val="0"/>
      <w:marRight w:val="0"/>
      <w:marTop w:val="0"/>
      <w:marBottom w:val="0"/>
      <w:divBdr>
        <w:top w:val="none" w:sz="0" w:space="0" w:color="auto"/>
        <w:left w:val="none" w:sz="0" w:space="0" w:color="auto"/>
        <w:bottom w:val="none" w:sz="0" w:space="0" w:color="auto"/>
        <w:right w:val="none" w:sz="0" w:space="0" w:color="auto"/>
      </w:divBdr>
    </w:div>
    <w:div w:id="1314486119">
      <w:bodyDiv w:val="1"/>
      <w:marLeft w:val="0"/>
      <w:marRight w:val="0"/>
      <w:marTop w:val="0"/>
      <w:marBottom w:val="0"/>
      <w:divBdr>
        <w:top w:val="none" w:sz="0" w:space="0" w:color="auto"/>
        <w:left w:val="none" w:sz="0" w:space="0" w:color="auto"/>
        <w:bottom w:val="none" w:sz="0" w:space="0" w:color="auto"/>
        <w:right w:val="none" w:sz="0" w:space="0" w:color="auto"/>
      </w:divBdr>
    </w:div>
    <w:div w:id="1362822856">
      <w:bodyDiv w:val="1"/>
      <w:marLeft w:val="0"/>
      <w:marRight w:val="0"/>
      <w:marTop w:val="0"/>
      <w:marBottom w:val="0"/>
      <w:divBdr>
        <w:top w:val="none" w:sz="0" w:space="0" w:color="auto"/>
        <w:left w:val="none" w:sz="0" w:space="0" w:color="auto"/>
        <w:bottom w:val="none" w:sz="0" w:space="0" w:color="auto"/>
        <w:right w:val="none" w:sz="0" w:space="0" w:color="auto"/>
      </w:divBdr>
    </w:div>
    <w:div w:id="1643996412">
      <w:marLeft w:val="0"/>
      <w:marRight w:val="0"/>
      <w:marTop w:val="0"/>
      <w:marBottom w:val="0"/>
      <w:divBdr>
        <w:top w:val="none" w:sz="0" w:space="0" w:color="auto"/>
        <w:left w:val="none" w:sz="0" w:space="0" w:color="auto"/>
        <w:bottom w:val="none" w:sz="0" w:space="0" w:color="auto"/>
        <w:right w:val="none" w:sz="0" w:space="0" w:color="auto"/>
      </w:divBdr>
    </w:div>
    <w:div w:id="1643996413">
      <w:marLeft w:val="0"/>
      <w:marRight w:val="0"/>
      <w:marTop w:val="0"/>
      <w:marBottom w:val="0"/>
      <w:divBdr>
        <w:top w:val="none" w:sz="0" w:space="0" w:color="auto"/>
        <w:left w:val="none" w:sz="0" w:space="0" w:color="auto"/>
        <w:bottom w:val="none" w:sz="0" w:space="0" w:color="auto"/>
        <w:right w:val="none" w:sz="0" w:space="0" w:color="auto"/>
      </w:divBdr>
    </w:div>
    <w:div w:id="1643996414">
      <w:marLeft w:val="0"/>
      <w:marRight w:val="0"/>
      <w:marTop w:val="0"/>
      <w:marBottom w:val="0"/>
      <w:divBdr>
        <w:top w:val="none" w:sz="0" w:space="0" w:color="auto"/>
        <w:left w:val="none" w:sz="0" w:space="0" w:color="auto"/>
        <w:bottom w:val="none" w:sz="0" w:space="0" w:color="auto"/>
        <w:right w:val="none" w:sz="0" w:space="0" w:color="auto"/>
      </w:divBdr>
    </w:div>
    <w:div w:id="1643996415">
      <w:marLeft w:val="0"/>
      <w:marRight w:val="0"/>
      <w:marTop w:val="0"/>
      <w:marBottom w:val="0"/>
      <w:divBdr>
        <w:top w:val="none" w:sz="0" w:space="0" w:color="auto"/>
        <w:left w:val="none" w:sz="0" w:space="0" w:color="auto"/>
        <w:bottom w:val="none" w:sz="0" w:space="0" w:color="auto"/>
        <w:right w:val="none" w:sz="0" w:space="0" w:color="auto"/>
      </w:divBdr>
    </w:div>
    <w:div w:id="1643996416">
      <w:marLeft w:val="0"/>
      <w:marRight w:val="0"/>
      <w:marTop w:val="0"/>
      <w:marBottom w:val="0"/>
      <w:divBdr>
        <w:top w:val="none" w:sz="0" w:space="0" w:color="auto"/>
        <w:left w:val="none" w:sz="0" w:space="0" w:color="auto"/>
        <w:bottom w:val="none" w:sz="0" w:space="0" w:color="auto"/>
        <w:right w:val="none" w:sz="0" w:space="0" w:color="auto"/>
      </w:divBdr>
    </w:div>
    <w:div w:id="1643996417">
      <w:marLeft w:val="0"/>
      <w:marRight w:val="0"/>
      <w:marTop w:val="0"/>
      <w:marBottom w:val="0"/>
      <w:divBdr>
        <w:top w:val="none" w:sz="0" w:space="0" w:color="auto"/>
        <w:left w:val="none" w:sz="0" w:space="0" w:color="auto"/>
        <w:bottom w:val="none" w:sz="0" w:space="0" w:color="auto"/>
        <w:right w:val="none" w:sz="0" w:space="0" w:color="auto"/>
      </w:divBdr>
    </w:div>
    <w:div w:id="1643996418">
      <w:marLeft w:val="0"/>
      <w:marRight w:val="0"/>
      <w:marTop w:val="0"/>
      <w:marBottom w:val="0"/>
      <w:divBdr>
        <w:top w:val="none" w:sz="0" w:space="0" w:color="auto"/>
        <w:left w:val="none" w:sz="0" w:space="0" w:color="auto"/>
        <w:bottom w:val="none" w:sz="0" w:space="0" w:color="auto"/>
        <w:right w:val="none" w:sz="0" w:space="0" w:color="auto"/>
      </w:divBdr>
    </w:div>
    <w:div w:id="1643996419">
      <w:marLeft w:val="0"/>
      <w:marRight w:val="0"/>
      <w:marTop w:val="0"/>
      <w:marBottom w:val="0"/>
      <w:divBdr>
        <w:top w:val="none" w:sz="0" w:space="0" w:color="auto"/>
        <w:left w:val="none" w:sz="0" w:space="0" w:color="auto"/>
        <w:bottom w:val="none" w:sz="0" w:space="0" w:color="auto"/>
        <w:right w:val="none" w:sz="0" w:space="0" w:color="auto"/>
      </w:divBdr>
    </w:div>
    <w:div w:id="1643996420">
      <w:marLeft w:val="0"/>
      <w:marRight w:val="0"/>
      <w:marTop w:val="0"/>
      <w:marBottom w:val="0"/>
      <w:divBdr>
        <w:top w:val="none" w:sz="0" w:space="0" w:color="auto"/>
        <w:left w:val="none" w:sz="0" w:space="0" w:color="auto"/>
        <w:bottom w:val="none" w:sz="0" w:space="0" w:color="auto"/>
        <w:right w:val="none" w:sz="0" w:space="0" w:color="auto"/>
      </w:divBdr>
    </w:div>
    <w:div w:id="1643996421">
      <w:marLeft w:val="0"/>
      <w:marRight w:val="0"/>
      <w:marTop w:val="0"/>
      <w:marBottom w:val="0"/>
      <w:divBdr>
        <w:top w:val="none" w:sz="0" w:space="0" w:color="auto"/>
        <w:left w:val="none" w:sz="0" w:space="0" w:color="auto"/>
        <w:bottom w:val="none" w:sz="0" w:space="0" w:color="auto"/>
        <w:right w:val="none" w:sz="0" w:space="0" w:color="auto"/>
      </w:divBdr>
    </w:div>
    <w:div w:id="1643996422">
      <w:marLeft w:val="0"/>
      <w:marRight w:val="0"/>
      <w:marTop w:val="0"/>
      <w:marBottom w:val="0"/>
      <w:divBdr>
        <w:top w:val="none" w:sz="0" w:space="0" w:color="auto"/>
        <w:left w:val="none" w:sz="0" w:space="0" w:color="auto"/>
        <w:bottom w:val="none" w:sz="0" w:space="0" w:color="auto"/>
        <w:right w:val="none" w:sz="0" w:space="0" w:color="auto"/>
      </w:divBdr>
    </w:div>
    <w:div w:id="1643996423">
      <w:marLeft w:val="0"/>
      <w:marRight w:val="0"/>
      <w:marTop w:val="0"/>
      <w:marBottom w:val="0"/>
      <w:divBdr>
        <w:top w:val="none" w:sz="0" w:space="0" w:color="auto"/>
        <w:left w:val="none" w:sz="0" w:space="0" w:color="auto"/>
        <w:bottom w:val="none" w:sz="0" w:space="0" w:color="auto"/>
        <w:right w:val="none" w:sz="0" w:space="0" w:color="auto"/>
      </w:divBdr>
    </w:div>
    <w:div w:id="1643996424">
      <w:marLeft w:val="0"/>
      <w:marRight w:val="0"/>
      <w:marTop w:val="0"/>
      <w:marBottom w:val="0"/>
      <w:divBdr>
        <w:top w:val="none" w:sz="0" w:space="0" w:color="auto"/>
        <w:left w:val="none" w:sz="0" w:space="0" w:color="auto"/>
        <w:bottom w:val="none" w:sz="0" w:space="0" w:color="auto"/>
        <w:right w:val="none" w:sz="0" w:space="0" w:color="auto"/>
      </w:divBdr>
    </w:div>
    <w:div w:id="1643996425">
      <w:marLeft w:val="0"/>
      <w:marRight w:val="0"/>
      <w:marTop w:val="0"/>
      <w:marBottom w:val="0"/>
      <w:divBdr>
        <w:top w:val="none" w:sz="0" w:space="0" w:color="auto"/>
        <w:left w:val="none" w:sz="0" w:space="0" w:color="auto"/>
        <w:bottom w:val="none" w:sz="0" w:space="0" w:color="auto"/>
        <w:right w:val="none" w:sz="0" w:space="0" w:color="auto"/>
      </w:divBdr>
    </w:div>
    <w:div w:id="1643996426">
      <w:marLeft w:val="0"/>
      <w:marRight w:val="0"/>
      <w:marTop w:val="0"/>
      <w:marBottom w:val="0"/>
      <w:divBdr>
        <w:top w:val="none" w:sz="0" w:space="0" w:color="auto"/>
        <w:left w:val="none" w:sz="0" w:space="0" w:color="auto"/>
        <w:bottom w:val="none" w:sz="0" w:space="0" w:color="auto"/>
        <w:right w:val="none" w:sz="0" w:space="0" w:color="auto"/>
      </w:divBdr>
    </w:div>
    <w:div w:id="1643996427">
      <w:marLeft w:val="0"/>
      <w:marRight w:val="0"/>
      <w:marTop w:val="0"/>
      <w:marBottom w:val="0"/>
      <w:divBdr>
        <w:top w:val="none" w:sz="0" w:space="0" w:color="auto"/>
        <w:left w:val="none" w:sz="0" w:space="0" w:color="auto"/>
        <w:bottom w:val="none" w:sz="0" w:space="0" w:color="auto"/>
        <w:right w:val="none" w:sz="0" w:space="0" w:color="auto"/>
      </w:divBdr>
    </w:div>
    <w:div w:id="1643996428">
      <w:marLeft w:val="0"/>
      <w:marRight w:val="0"/>
      <w:marTop w:val="0"/>
      <w:marBottom w:val="0"/>
      <w:divBdr>
        <w:top w:val="none" w:sz="0" w:space="0" w:color="auto"/>
        <w:left w:val="none" w:sz="0" w:space="0" w:color="auto"/>
        <w:bottom w:val="none" w:sz="0" w:space="0" w:color="auto"/>
        <w:right w:val="none" w:sz="0" w:space="0" w:color="auto"/>
      </w:divBdr>
    </w:div>
    <w:div w:id="1643996429">
      <w:marLeft w:val="0"/>
      <w:marRight w:val="0"/>
      <w:marTop w:val="0"/>
      <w:marBottom w:val="0"/>
      <w:divBdr>
        <w:top w:val="none" w:sz="0" w:space="0" w:color="auto"/>
        <w:left w:val="none" w:sz="0" w:space="0" w:color="auto"/>
        <w:bottom w:val="none" w:sz="0" w:space="0" w:color="auto"/>
        <w:right w:val="none" w:sz="0" w:space="0" w:color="auto"/>
      </w:divBdr>
    </w:div>
    <w:div w:id="1643996430">
      <w:marLeft w:val="0"/>
      <w:marRight w:val="0"/>
      <w:marTop w:val="0"/>
      <w:marBottom w:val="0"/>
      <w:divBdr>
        <w:top w:val="none" w:sz="0" w:space="0" w:color="auto"/>
        <w:left w:val="none" w:sz="0" w:space="0" w:color="auto"/>
        <w:bottom w:val="none" w:sz="0" w:space="0" w:color="auto"/>
        <w:right w:val="none" w:sz="0" w:space="0" w:color="auto"/>
      </w:divBdr>
    </w:div>
    <w:div w:id="1643996431">
      <w:marLeft w:val="0"/>
      <w:marRight w:val="0"/>
      <w:marTop w:val="0"/>
      <w:marBottom w:val="0"/>
      <w:divBdr>
        <w:top w:val="none" w:sz="0" w:space="0" w:color="auto"/>
        <w:left w:val="none" w:sz="0" w:space="0" w:color="auto"/>
        <w:bottom w:val="none" w:sz="0" w:space="0" w:color="auto"/>
        <w:right w:val="none" w:sz="0" w:space="0" w:color="auto"/>
      </w:divBdr>
    </w:div>
    <w:div w:id="1643996432">
      <w:marLeft w:val="0"/>
      <w:marRight w:val="0"/>
      <w:marTop w:val="0"/>
      <w:marBottom w:val="0"/>
      <w:divBdr>
        <w:top w:val="none" w:sz="0" w:space="0" w:color="auto"/>
        <w:left w:val="none" w:sz="0" w:space="0" w:color="auto"/>
        <w:bottom w:val="none" w:sz="0" w:space="0" w:color="auto"/>
        <w:right w:val="none" w:sz="0" w:space="0" w:color="auto"/>
      </w:divBdr>
    </w:div>
    <w:div w:id="1643996433">
      <w:marLeft w:val="0"/>
      <w:marRight w:val="0"/>
      <w:marTop w:val="0"/>
      <w:marBottom w:val="0"/>
      <w:divBdr>
        <w:top w:val="none" w:sz="0" w:space="0" w:color="auto"/>
        <w:left w:val="none" w:sz="0" w:space="0" w:color="auto"/>
        <w:bottom w:val="none" w:sz="0" w:space="0" w:color="auto"/>
        <w:right w:val="none" w:sz="0" w:space="0" w:color="auto"/>
      </w:divBdr>
    </w:div>
    <w:div w:id="1643996434">
      <w:marLeft w:val="0"/>
      <w:marRight w:val="0"/>
      <w:marTop w:val="0"/>
      <w:marBottom w:val="0"/>
      <w:divBdr>
        <w:top w:val="none" w:sz="0" w:space="0" w:color="auto"/>
        <w:left w:val="none" w:sz="0" w:space="0" w:color="auto"/>
        <w:bottom w:val="none" w:sz="0" w:space="0" w:color="auto"/>
        <w:right w:val="none" w:sz="0" w:space="0" w:color="auto"/>
      </w:divBdr>
    </w:div>
    <w:div w:id="1643996435">
      <w:marLeft w:val="0"/>
      <w:marRight w:val="0"/>
      <w:marTop w:val="0"/>
      <w:marBottom w:val="0"/>
      <w:divBdr>
        <w:top w:val="none" w:sz="0" w:space="0" w:color="auto"/>
        <w:left w:val="none" w:sz="0" w:space="0" w:color="auto"/>
        <w:bottom w:val="none" w:sz="0" w:space="0" w:color="auto"/>
        <w:right w:val="none" w:sz="0" w:space="0" w:color="auto"/>
      </w:divBdr>
    </w:div>
    <w:div w:id="1643996436">
      <w:marLeft w:val="0"/>
      <w:marRight w:val="0"/>
      <w:marTop w:val="0"/>
      <w:marBottom w:val="0"/>
      <w:divBdr>
        <w:top w:val="none" w:sz="0" w:space="0" w:color="auto"/>
        <w:left w:val="none" w:sz="0" w:space="0" w:color="auto"/>
        <w:bottom w:val="none" w:sz="0" w:space="0" w:color="auto"/>
        <w:right w:val="none" w:sz="0" w:space="0" w:color="auto"/>
      </w:divBdr>
    </w:div>
    <w:div w:id="1643996437">
      <w:marLeft w:val="0"/>
      <w:marRight w:val="0"/>
      <w:marTop w:val="0"/>
      <w:marBottom w:val="0"/>
      <w:divBdr>
        <w:top w:val="none" w:sz="0" w:space="0" w:color="auto"/>
        <w:left w:val="none" w:sz="0" w:space="0" w:color="auto"/>
        <w:bottom w:val="none" w:sz="0" w:space="0" w:color="auto"/>
        <w:right w:val="none" w:sz="0" w:space="0" w:color="auto"/>
      </w:divBdr>
    </w:div>
    <w:div w:id="1643996438">
      <w:marLeft w:val="0"/>
      <w:marRight w:val="0"/>
      <w:marTop w:val="0"/>
      <w:marBottom w:val="0"/>
      <w:divBdr>
        <w:top w:val="none" w:sz="0" w:space="0" w:color="auto"/>
        <w:left w:val="none" w:sz="0" w:space="0" w:color="auto"/>
        <w:bottom w:val="none" w:sz="0" w:space="0" w:color="auto"/>
        <w:right w:val="none" w:sz="0" w:space="0" w:color="auto"/>
      </w:divBdr>
    </w:div>
    <w:div w:id="1643996439">
      <w:marLeft w:val="0"/>
      <w:marRight w:val="0"/>
      <w:marTop w:val="0"/>
      <w:marBottom w:val="0"/>
      <w:divBdr>
        <w:top w:val="none" w:sz="0" w:space="0" w:color="auto"/>
        <w:left w:val="none" w:sz="0" w:space="0" w:color="auto"/>
        <w:bottom w:val="none" w:sz="0" w:space="0" w:color="auto"/>
        <w:right w:val="none" w:sz="0" w:space="0" w:color="auto"/>
      </w:divBdr>
    </w:div>
    <w:div w:id="1643996440">
      <w:marLeft w:val="0"/>
      <w:marRight w:val="0"/>
      <w:marTop w:val="0"/>
      <w:marBottom w:val="0"/>
      <w:divBdr>
        <w:top w:val="none" w:sz="0" w:space="0" w:color="auto"/>
        <w:left w:val="none" w:sz="0" w:space="0" w:color="auto"/>
        <w:bottom w:val="none" w:sz="0" w:space="0" w:color="auto"/>
        <w:right w:val="none" w:sz="0" w:space="0" w:color="auto"/>
      </w:divBdr>
    </w:div>
    <w:div w:id="1643996441">
      <w:marLeft w:val="0"/>
      <w:marRight w:val="0"/>
      <w:marTop w:val="0"/>
      <w:marBottom w:val="0"/>
      <w:divBdr>
        <w:top w:val="none" w:sz="0" w:space="0" w:color="auto"/>
        <w:left w:val="none" w:sz="0" w:space="0" w:color="auto"/>
        <w:bottom w:val="none" w:sz="0" w:space="0" w:color="auto"/>
        <w:right w:val="none" w:sz="0" w:space="0" w:color="auto"/>
      </w:divBdr>
    </w:div>
    <w:div w:id="1643996442">
      <w:marLeft w:val="0"/>
      <w:marRight w:val="0"/>
      <w:marTop w:val="0"/>
      <w:marBottom w:val="0"/>
      <w:divBdr>
        <w:top w:val="none" w:sz="0" w:space="0" w:color="auto"/>
        <w:left w:val="none" w:sz="0" w:space="0" w:color="auto"/>
        <w:bottom w:val="none" w:sz="0" w:space="0" w:color="auto"/>
        <w:right w:val="none" w:sz="0" w:space="0" w:color="auto"/>
      </w:divBdr>
    </w:div>
    <w:div w:id="1643996443">
      <w:marLeft w:val="0"/>
      <w:marRight w:val="0"/>
      <w:marTop w:val="0"/>
      <w:marBottom w:val="0"/>
      <w:divBdr>
        <w:top w:val="none" w:sz="0" w:space="0" w:color="auto"/>
        <w:left w:val="none" w:sz="0" w:space="0" w:color="auto"/>
        <w:bottom w:val="none" w:sz="0" w:space="0" w:color="auto"/>
        <w:right w:val="none" w:sz="0" w:space="0" w:color="auto"/>
      </w:divBdr>
    </w:div>
    <w:div w:id="1643996444">
      <w:marLeft w:val="0"/>
      <w:marRight w:val="0"/>
      <w:marTop w:val="0"/>
      <w:marBottom w:val="0"/>
      <w:divBdr>
        <w:top w:val="none" w:sz="0" w:space="0" w:color="auto"/>
        <w:left w:val="none" w:sz="0" w:space="0" w:color="auto"/>
        <w:bottom w:val="none" w:sz="0" w:space="0" w:color="auto"/>
        <w:right w:val="none" w:sz="0" w:space="0" w:color="auto"/>
      </w:divBdr>
    </w:div>
    <w:div w:id="1643996445">
      <w:marLeft w:val="0"/>
      <w:marRight w:val="0"/>
      <w:marTop w:val="0"/>
      <w:marBottom w:val="0"/>
      <w:divBdr>
        <w:top w:val="none" w:sz="0" w:space="0" w:color="auto"/>
        <w:left w:val="none" w:sz="0" w:space="0" w:color="auto"/>
        <w:bottom w:val="none" w:sz="0" w:space="0" w:color="auto"/>
        <w:right w:val="none" w:sz="0" w:space="0" w:color="auto"/>
      </w:divBdr>
    </w:div>
    <w:div w:id="18832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elte.org.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B7D5ED-EE73-460A-B6FF-65DD4E0D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1481</Words>
  <Characters>8001</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zlignou</cp:lastModifiedBy>
  <cp:revision>3</cp:revision>
  <cp:lastPrinted>2020-06-23T11:29:00Z</cp:lastPrinted>
  <dcterms:created xsi:type="dcterms:W3CDTF">2021-01-07T10:38:00Z</dcterms:created>
  <dcterms:modified xsi:type="dcterms:W3CDTF">2021-01-26T07:50:00Z</dcterms:modified>
</cp:coreProperties>
</file>